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918" w14:textId="77777777" w:rsidR="004D5C8B" w:rsidRDefault="006D44E7">
      <w:pPr>
        <w:pStyle w:val="Heading1"/>
        <w:rPr>
          <w:b/>
        </w:rPr>
      </w:pPr>
      <w:r>
        <w:rPr>
          <w:b/>
        </w:rPr>
        <w:t>Call-Off Schedule 20 (Call-Off Specification)</w:t>
      </w:r>
    </w:p>
    <w:tbl>
      <w:tblPr>
        <w:tblW w:w="9493" w:type="dxa"/>
        <w:tblInd w:w="-113" w:type="dxa"/>
        <w:tblLayout w:type="fixed"/>
        <w:tblCellMar>
          <w:left w:w="10" w:type="dxa"/>
          <w:right w:w="10" w:type="dxa"/>
        </w:tblCellMar>
        <w:tblLook w:val="04A0" w:firstRow="1" w:lastRow="0" w:firstColumn="1" w:lastColumn="0" w:noHBand="0" w:noVBand="1"/>
      </w:tblPr>
      <w:tblGrid>
        <w:gridCol w:w="1451"/>
        <w:gridCol w:w="270"/>
        <w:gridCol w:w="7772"/>
      </w:tblGrid>
      <w:tr w:rsidR="004D5C8B" w14:paraId="4ED5091B" w14:textId="77777777">
        <w:tc>
          <w:tcPr>
            <w:tcW w:w="1721" w:type="dxa"/>
            <w:gridSpan w:val="2"/>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ED50919" w14:textId="77777777" w:rsidR="004D5C8B" w:rsidRDefault="006D44E7">
            <w:pPr>
              <w:spacing w:before="60" w:after="60"/>
              <w:rPr>
                <w:b/>
                <w:color w:val="000000"/>
                <w:sz w:val="24"/>
                <w:szCs w:val="24"/>
              </w:rPr>
            </w:pPr>
            <w:r>
              <w:rPr>
                <w:b/>
                <w:color w:val="000000"/>
                <w:sz w:val="24"/>
                <w:szCs w:val="24"/>
              </w:rPr>
              <w:t>2.</w:t>
            </w:r>
          </w:p>
        </w:tc>
        <w:tc>
          <w:tcPr>
            <w:tcW w:w="7772" w:type="dxa"/>
            <w:tcBorders>
              <w:top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ED5091A" w14:textId="77777777" w:rsidR="004D5C8B" w:rsidRDefault="006D44E7">
            <w:pPr>
              <w:spacing w:before="60" w:after="60"/>
              <w:ind w:left="72"/>
              <w:rPr>
                <w:b/>
                <w:color w:val="000000"/>
                <w:sz w:val="24"/>
                <w:szCs w:val="24"/>
              </w:rPr>
            </w:pPr>
            <w:r>
              <w:rPr>
                <w:b/>
                <w:color w:val="000000"/>
                <w:sz w:val="24"/>
                <w:szCs w:val="24"/>
              </w:rPr>
              <w:t>Background</w:t>
            </w:r>
          </w:p>
        </w:tc>
      </w:tr>
      <w:tr w:rsidR="004D5C8B" w14:paraId="4ED50930" w14:textId="77777777">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91C" w14:textId="77777777" w:rsidR="004D5C8B" w:rsidRDefault="004D5C8B">
            <w:pPr>
              <w:rPr>
                <w:b/>
                <w:sz w:val="24"/>
                <w:szCs w:val="24"/>
              </w:rPr>
            </w:pPr>
          </w:p>
          <w:p w14:paraId="4ED5091D" w14:textId="77777777" w:rsidR="004D5C8B" w:rsidRDefault="006D44E7">
            <w:pPr>
              <w:rPr>
                <w:b/>
                <w:sz w:val="24"/>
                <w:szCs w:val="24"/>
              </w:rPr>
            </w:pPr>
            <w:r>
              <w:rPr>
                <w:b/>
                <w:sz w:val="24"/>
                <w:szCs w:val="24"/>
              </w:rPr>
              <w:t>2.1 Overview</w:t>
            </w:r>
          </w:p>
          <w:p w14:paraId="4ED5091E" w14:textId="77777777" w:rsidR="004D5C8B" w:rsidRDefault="004D5C8B">
            <w:pPr>
              <w:rPr>
                <w:sz w:val="24"/>
                <w:szCs w:val="24"/>
              </w:rPr>
            </w:pPr>
          </w:p>
          <w:p w14:paraId="4ED5091F" w14:textId="77777777" w:rsidR="004D5C8B" w:rsidRDefault="006D44E7">
            <w:pPr>
              <w:rPr>
                <w:sz w:val="24"/>
                <w:szCs w:val="24"/>
              </w:rPr>
            </w:pPr>
            <w:r>
              <w:rPr>
                <w:sz w:val="24"/>
                <w:szCs w:val="24"/>
              </w:rPr>
              <w:t xml:space="preserve">2.1.1 Her Majesty’s Revenue and Customs (HMRC) is the United Kingdom’s tax, </w:t>
            </w:r>
            <w:proofErr w:type="gramStart"/>
            <w:r>
              <w:rPr>
                <w:sz w:val="24"/>
                <w:szCs w:val="24"/>
              </w:rPr>
              <w:t>payments</w:t>
            </w:r>
            <w:proofErr w:type="gramEnd"/>
            <w:r>
              <w:rPr>
                <w:sz w:val="24"/>
                <w:szCs w:val="24"/>
              </w:rPr>
              <w:t xml:space="preserve"> and customs authority, with the vital purpose of collecting the money that pays for the UK’s public services and help families and individuals with targeted financial support. Through our customs service we facilitate legitimate trade and protect our economic, </w:t>
            </w:r>
            <w:proofErr w:type="gramStart"/>
            <w:r>
              <w:rPr>
                <w:sz w:val="24"/>
                <w:szCs w:val="24"/>
              </w:rPr>
              <w:t>social</w:t>
            </w:r>
            <w:proofErr w:type="gramEnd"/>
            <w:r>
              <w:rPr>
                <w:sz w:val="24"/>
                <w:szCs w:val="24"/>
              </w:rPr>
              <w:t xml:space="preserve"> and physical security. </w:t>
            </w:r>
          </w:p>
          <w:p w14:paraId="4ED50920" w14:textId="77777777" w:rsidR="004D5C8B" w:rsidRDefault="004D5C8B">
            <w:pPr>
              <w:rPr>
                <w:sz w:val="24"/>
                <w:szCs w:val="24"/>
              </w:rPr>
            </w:pPr>
          </w:p>
          <w:p w14:paraId="4ED50921" w14:textId="77777777" w:rsidR="004D5C8B" w:rsidRDefault="006D44E7">
            <w:pPr>
              <w:rPr>
                <w:sz w:val="24"/>
                <w:szCs w:val="24"/>
              </w:rPr>
            </w:pPr>
            <w:r>
              <w:rPr>
                <w:sz w:val="24"/>
                <w:szCs w:val="24"/>
              </w:rPr>
              <w:t>2.1.2 HMRC’s 3 strategic objectives are:</w:t>
            </w:r>
          </w:p>
          <w:p w14:paraId="4ED50922" w14:textId="77777777" w:rsidR="004D5C8B" w:rsidRDefault="006D44E7">
            <w:pPr>
              <w:rPr>
                <w:sz w:val="24"/>
                <w:szCs w:val="24"/>
              </w:rPr>
            </w:pPr>
            <w:r>
              <w:rPr>
                <w:sz w:val="24"/>
                <w:szCs w:val="24"/>
              </w:rPr>
              <w:t>a.) collect revenues due and bear down on avoidance and evasion</w:t>
            </w:r>
          </w:p>
          <w:p w14:paraId="4ED50923" w14:textId="77777777" w:rsidR="004D5C8B" w:rsidRDefault="006D44E7">
            <w:pPr>
              <w:rPr>
                <w:sz w:val="24"/>
                <w:szCs w:val="24"/>
              </w:rPr>
            </w:pPr>
            <w:r>
              <w:rPr>
                <w:sz w:val="24"/>
                <w:szCs w:val="24"/>
              </w:rPr>
              <w:t>b.) transform tax and payments for our customers</w:t>
            </w:r>
          </w:p>
          <w:p w14:paraId="4ED50924" w14:textId="77777777" w:rsidR="004D5C8B" w:rsidRDefault="006D44E7">
            <w:pPr>
              <w:rPr>
                <w:sz w:val="24"/>
                <w:szCs w:val="24"/>
              </w:rPr>
            </w:pPr>
            <w:r>
              <w:rPr>
                <w:sz w:val="24"/>
                <w:szCs w:val="24"/>
              </w:rPr>
              <w:t xml:space="preserve">c.) design and deliver a professional, </w:t>
            </w:r>
            <w:proofErr w:type="gramStart"/>
            <w:r>
              <w:rPr>
                <w:sz w:val="24"/>
                <w:szCs w:val="24"/>
              </w:rPr>
              <w:t>efficient</w:t>
            </w:r>
            <w:proofErr w:type="gramEnd"/>
            <w:r>
              <w:rPr>
                <w:sz w:val="24"/>
                <w:szCs w:val="24"/>
              </w:rPr>
              <w:t xml:space="preserve"> and engaged organisation.</w:t>
            </w:r>
          </w:p>
          <w:p w14:paraId="4ED50925" w14:textId="77777777" w:rsidR="004D5C8B" w:rsidRDefault="004D5C8B">
            <w:pPr>
              <w:rPr>
                <w:b/>
                <w:color w:val="000000"/>
                <w:sz w:val="24"/>
                <w:szCs w:val="24"/>
              </w:rPr>
            </w:pPr>
          </w:p>
          <w:p w14:paraId="4ED50926" w14:textId="77777777" w:rsidR="004D5C8B" w:rsidRDefault="006D44E7">
            <w:pPr>
              <w:pStyle w:val="Heading1"/>
              <w:ind w:left="720" w:hanging="720"/>
              <w:rPr>
                <w:b/>
                <w:bCs/>
                <w:sz w:val="24"/>
                <w:szCs w:val="24"/>
              </w:rPr>
            </w:pPr>
            <w:r>
              <w:rPr>
                <w:b/>
                <w:bCs/>
                <w:sz w:val="24"/>
                <w:szCs w:val="24"/>
              </w:rPr>
              <w:t>2.2 Background to the Requirement</w:t>
            </w:r>
          </w:p>
          <w:p w14:paraId="4ED50927" w14:textId="77777777" w:rsidR="004D5C8B" w:rsidRDefault="004D5C8B">
            <w:pPr>
              <w:rPr>
                <w:sz w:val="24"/>
                <w:szCs w:val="24"/>
                <w:lang w:eastAsia="en-US"/>
              </w:rPr>
            </w:pPr>
          </w:p>
          <w:p w14:paraId="4ED50928" w14:textId="77777777" w:rsidR="004D5C8B" w:rsidRDefault="006D44E7">
            <w:pPr>
              <w:rPr>
                <w:sz w:val="24"/>
                <w:szCs w:val="24"/>
              </w:rPr>
            </w:pPr>
            <w:r>
              <w:rPr>
                <w:sz w:val="24"/>
                <w:szCs w:val="24"/>
              </w:rPr>
              <w:t>2.2.1 HMRC has one of the largest and most complex IT estates in Europe, serving 45 million citizens and over 5 million business taxpayers. In recent years, HMRC has embarked upon a significant technology transformation journey through several initiatives and major programmes to enable its vision to run a “secure, flexible and modern IT estate”.</w:t>
            </w:r>
          </w:p>
          <w:p w14:paraId="4ED50929" w14:textId="77777777" w:rsidR="004D5C8B" w:rsidRDefault="004D5C8B">
            <w:pPr>
              <w:rPr>
                <w:sz w:val="24"/>
                <w:szCs w:val="24"/>
              </w:rPr>
            </w:pPr>
          </w:p>
          <w:p w14:paraId="4ED5092A" w14:textId="77777777" w:rsidR="004D5C8B" w:rsidRDefault="006D44E7">
            <w:pPr>
              <w:rPr>
                <w:sz w:val="24"/>
                <w:szCs w:val="24"/>
              </w:rPr>
            </w:pPr>
            <w:r>
              <w:rPr>
                <w:sz w:val="24"/>
                <w:szCs w:val="24"/>
              </w:rPr>
              <w:t xml:space="preserve">2.2.2 Delivery of the enterprise IT vision and modernisation ambition requires organisational-wide changes across multiple portfolios of work. The transformation journey has a significant commercial element to it, from ensuring the smooth exit and disaggregation of large contracts to embedding the right operating model, </w:t>
            </w:r>
            <w:proofErr w:type="gramStart"/>
            <w:r>
              <w:rPr>
                <w:sz w:val="24"/>
                <w:szCs w:val="24"/>
              </w:rPr>
              <w:t>capabilities</w:t>
            </w:r>
            <w:proofErr w:type="gramEnd"/>
            <w:r>
              <w:rPr>
                <w:sz w:val="24"/>
                <w:szCs w:val="24"/>
              </w:rPr>
              <w:t xml:space="preserve"> and supply chain to deliver HMRC’s long term ambition.</w:t>
            </w:r>
          </w:p>
          <w:p w14:paraId="4ED5092B" w14:textId="77777777" w:rsidR="004D5C8B" w:rsidRDefault="004D5C8B">
            <w:pPr>
              <w:rPr>
                <w:sz w:val="24"/>
                <w:szCs w:val="24"/>
              </w:rPr>
            </w:pPr>
          </w:p>
          <w:p w14:paraId="4ED5092C" w14:textId="77777777" w:rsidR="004D5C8B" w:rsidRDefault="006D44E7">
            <w:pPr>
              <w:rPr>
                <w:sz w:val="24"/>
                <w:szCs w:val="24"/>
              </w:rPr>
            </w:pPr>
            <w:r>
              <w:rPr>
                <w:sz w:val="24"/>
                <w:szCs w:val="24"/>
              </w:rPr>
              <w:t xml:space="preserve">2.2.3 The IT Commercial function have been working closely with the Chief Digital and Information Office (CDIO) to successfully execute complex commercial projects and put in place approximately 30 new commercial arrangements through Transition States 1 and 2 of the Technology Sourcing Programme (TSP). In the past year, CDIO and IT Commercial have also embedded operating model changes to enable the transition to a multi-supplier IT landscape. </w:t>
            </w:r>
          </w:p>
          <w:p w14:paraId="4ED5092D" w14:textId="77777777" w:rsidR="004D5C8B" w:rsidRDefault="004D5C8B">
            <w:pPr>
              <w:rPr>
                <w:sz w:val="24"/>
                <w:szCs w:val="24"/>
              </w:rPr>
            </w:pPr>
          </w:p>
          <w:p w14:paraId="4ED5092E" w14:textId="77777777" w:rsidR="004D5C8B" w:rsidRDefault="006D44E7">
            <w:pPr>
              <w:rPr>
                <w:sz w:val="24"/>
                <w:szCs w:val="24"/>
              </w:rPr>
            </w:pPr>
            <w:r>
              <w:rPr>
                <w:sz w:val="24"/>
                <w:szCs w:val="24"/>
              </w:rPr>
              <w:t>2.2.4 Future phases of the technology transformation objectives will require significant transformation, particularly across CDIO and IT Commercial function. Over the next few years, we anticipate further commercial transformation and delivery of complex portfolios of commercial activities and will require specialist support to achieve these.</w:t>
            </w:r>
          </w:p>
          <w:p w14:paraId="4ED5092F" w14:textId="77777777" w:rsidR="004D5C8B" w:rsidRDefault="004D5C8B">
            <w:pPr>
              <w:rPr>
                <w:sz w:val="24"/>
                <w:szCs w:val="24"/>
              </w:rPr>
            </w:pPr>
          </w:p>
        </w:tc>
      </w:tr>
      <w:tr w:rsidR="004D5C8B" w14:paraId="4ED50933" w14:textId="77777777">
        <w:tc>
          <w:tcPr>
            <w:tcW w:w="1721" w:type="dxa"/>
            <w:gridSpan w:val="2"/>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ED50931" w14:textId="77777777" w:rsidR="004D5C8B" w:rsidRDefault="006D44E7">
            <w:pPr>
              <w:rPr>
                <w:b/>
                <w:color w:val="000000"/>
                <w:sz w:val="24"/>
                <w:szCs w:val="24"/>
              </w:rPr>
            </w:pPr>
            <w:r>
              <w:rPr>
                <w:b/>
                <w:color w:val="000000"/>
                <w:sz w:val="24"/>
                <w:szCs w:val="24"/>
              </w:rPr>
              <w:t>3</w:t>
            </w:r>
          </w:p>
        </w:tc>
        <w:tc>
          <w:tcPr>
            <w:tcW w:w="7772" w:type="dxa"/>
            <w:tcBorders>
              <w:top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ED50932" w14:textId="77777777" w:rsidR="004D5C8B" w:rsidRDefault="006D44E7">
            <w:pPr>
              <w:spacing w:before="60" w:after="60"/>
              <w:ind w:left="72"/>
              <w:rPr>
                <w:b/>
                <w:color w:val="000000"/>
                <w:sz w:val="24"/>
                <w:szCs w:val="24"/>
              </w:rPr>
            </w:pPr>
            <w:r>
              <w:rPr>
                <w:b/>
                <w:color w:val="000000"/>
                <w:sz w:val="24"/>
                <w:szCs w:val="24"/>
              </w:rPr>
              <w:t>Requirements</w:t>
            </w:r>
          </w:p>
        </w:tc>
      </w:tr>
      <w:tr w:rsidR="004D5C8B" w14:paraId="4ED509A8" w14:textId="77777777">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934" w14:textId="77777777" w:rsidR="004D5C8B" w:rsidRDefault="004D5C8B">
            <w:pPr>
              <w:rPr>
                <w:color w:val="0070C0"/>
                <w:sz w:val="24"/>
                <w:szCs w:val="24"/>
              </w:rPr>
            </w:pPr>
          </w:p>
          <w:p w14:paraId="4ED50935" w14:textId="77777777" w:rsidR="004D5C8B" w:rsidRDefault="006D44E7">
            <w:pPr>
              <w:pStyle w:val="Heading1"/>
              <w:ind w:left="720" w:hanging="720"/>
              <w:rPr>
                <w:b/>
                <w:bCs/>
                <w:sz w:val="24"/>
                <w:szCs w:val="24"/>
              </w:rPr>
            </w:pPr>
            <w:r>
              <w:rPr>
                <w:b/>
                <w:bCs/>
                <w:sz w:val="24"/>
                <w:szCs w:val="24"/>
              </w:rPr>
              <w:lastRenderedPageBreak/>
              <w:t>3.1 Scope of Services and Requirements</w:t>
            </w:r>
          </w:p>
          <w:p w14:paraId="4ED50936" w14:textId="77777777" w:rsidR="004D5C8B" w:rsidRDefault="004D5C8B">
            <w:pPr>
              <w:rPr>
                <w:sz w:val="24"/>
                <w:szCs w:val="24"/>
                <w:lang w:eastAsia="en-US"/>
              </w:rPr>
            </w:pPr>
          </w:p>
          <w:p w14:paraId="4ED50937" w14:textId="77777777" w:rsidR="004D5C8B" w:rsidRDefault="006D44E7">
            <w:pPr>
              <w:rPr>
                <w:sz w:val="24"/>
                <w:szCs w:val="24"/>
              </w:rPr>
            </w:pPr>
            <w:r>
              <w:rPr>
                <w:sz w:val="24"/>
                <w:szCs w:val="24"/>
              </w:rPr>
              <w:t>3.1.1 HMRC is seeking support in the form of an external Supplier with strategic commercial transformation expertise and experienced delivery of complex commercial activities. HMRC is looking for a Supplier with the ability to both meet ongoing requirements to execute complex commercial IT projects, such as Support for SAP Upgrade to HANA and support for DALAS framework (where there may not be sufficient capacity or specialist capability in-house) and be a strategic partner to develop a mature and continuously improving IT Commercial function for HMRC and support the ongoing maturity of the in-house IT Commercial function and appropriate operating model.</w:t>
            </w:r>
          </w:p>
          <w:p w14:paraId="4ED50938" w14:textId="77777777" w:rsidR="004D5C8B" w:rsidRDefault="004D5C8B">
            <w:pPr>
              <w:rPr>
                <w:rFonts w:eastAsia="Times New Roman"/>
                <w:sz w:val="24"/>
                <w:szCs w:val="24"/>
              </w:rPr>
            </w:pPr>
          </w:p>
          <w:p w14:paraId="4ED50939" w14:textId="77777777" w:rsidR="004D5C8B" w:rsidRDefault="006D44E7">
            <w:pPr>
              <w:rPr>
                <w:sz w:val="24"/>
                <w:szCs w:val="24"/>
              </w:rPr>
            </w:pPr>
            <w:r>
              <w:rPr>
                <w:sz w:val="24"/>
                <w:szCs w:val="24"/>
              </w:rPr>
              <w:t>3.1.2 The Supplier will need to demonstrate capability across the following areas:</w:t>
            </w:r>
          </w:p>
          <w:p w14:paraId="4ED5093A" w14:textId="77777777" w:rsidR="004D5C8B" w:rsidRDefault="004D5C8B">
            <w:pPr>
              <w:rPr>
                <w:sz w:val="24"/>
                <w:szCs w:val="24"/>
              </w:rPr>
            </w:pPr>
          </w:p>
          <w:p w14:paraId="4ED5093B"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Expertise and capacity to shape and execute complex commercial IT projects in government</w:t>
            </w:r>
          </w:p>
          <w:p w14:paraId="4ED5093C"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Effective delivery of Category management, Sourcing, Contract Management and Strategic Supplier Relationship Management.</w:t>
            </w:r>
          </w:p>
          <w:p w14:paraId="4ED5093D"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 xml:space="preserve">Operating model design, </w:t>
            </w:r>
            <w:proofErr w:type="gramStart"/>
            <w:r>
              <w:rPr>
                <w:rFonts w:cs="Arial"/>
                <w:sz w:val="24"/>
                <w:szCs w:val="24"/>
              </w:rPr>
              <w:t>implementation</w:t>
            </w:r>
            <w:proofErr w:type="gramEnd"/>
            <w:r>
              <w:rPr>
                <w:rFonts w:cs="Arial"/>
                <w:sz w:val="24"/>
                <w:szCs w:val="24"/>
              </w:rPr>
              <w:t xml:space="preserve"> and commercial capability development/build in public sector organisations across the full end to end IT commercial teams.</w:t>
            </w:r>
          </w:p>
          <w:p w14:paraId="4ED5093E"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Awareness and experience of the complexities and challenges of delivering IT modernisation programmes and the associated commercial considerations.</w:t>
            </w:r>
          </w:p>
          <w:p w14:paraId="4ED5093F"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Ability to bring together specialist technical and commercial skills to provide strategic advice.</w:t>
            </w:r>
          </w:p>
          <w:p w14:paraId="4ED50940" w14:textId="77777777" w:rsidR="004D5C8B" w:rsidRDefault="006D44E7">
            <w:pPr>
              <w:pStyle w:val="ListParagraph"/>
              <w:numPr>
                <w:ilvl w:val="1"/>
                <w:numId w:val="97"/>
              </w:numPr>
              <w:suppressAutoHyphens w:val="0"/>
              <w:ind w:left="426"/>
              <w:contextualSpacing w:val="0"/>
              <w:textAlignment w:val="auto"/>
              <w:rPr>
                <w:rFonts w:cs="Arial"/>
                <w:sz w:val="24"/>
                <w:szCs w:val="24"/>
              </w:rPr>
            </w:pPr>
            <w:r>
              <w:rPr>
                <w:rFonts w:cs="Arial"/>
                <w:sz w:val="24"/>
                <w:szCs w:val="24"/>
              </w:rPr>
              <w:t>Experience of adding value in a post-disaggregated IT estate.</w:t>
            </w:r>
          </w:p>
          <w:p w14:paraId="4ED50941" w14:textId="77777777" w:rsidR="004D5C8B" w:rsidRDefault="006D44E7">
            <w:pPr>
              <w:pStyle w:val="ListParagraph"/>
              <w:numPr>
                <w:ilvl w:val="1"/>
                <w:numId w:val="97"/>
              </w:numPr>
              <w:suppressAutoHyphens w:val="0"/>
              <w:ind w:left="426"/>
              <w:contextualSpacing w:val="0"/>
              <w:textAlignment w:val="auto"/>
            </w:pPr>
            <w:r>
              <w:rPr>
                <w:rFonts w:eastAsia="Calibri" w:cs="Arial"/>
                <w:sz w:val="24"/>
                <w:szCs w:val="24"/>
                <w:lang w:eastAsia="en-US"/>
              </w:rPr>
              <w:t>The Supplier must also demonstrate independence from, and the ability to work with, other strategic advisors.</w:t>
            </w:r>
          </w:p>
          <w:p w14:paraId="4ED50942" w14:textId="77777777" w:rsidR="004D5C8B" w:rsidRDefault="004D5C8B">
            <w:pPr>
              <w:rPr>
                <w:b/>
                <w:sz w:val="24"/>
                <w:szCs w:val="24"/>
                <w:shd w:val="clear" w:color="auto" w:fill="FFFF00"/>
              </w:rPr>
            </w:pPr>
          </w:p>
          <w:p w14:paraId="4ED50943" w14:textId="77777777" w:rsidR="004D5C8B" w:rsidRDefault="006D44E7">
            <w:pPr>
              <w:rPr>
                <w:b/>
                <w:bCs/>
                <w:sz w:val="24"/>
                <w:szCs w:val="24"/>
              </w:rPr>
            </w:pPr>
            <w:r>
              <w:rPr>
                <w:b/>
                <w:bCs/>
                <w:sz w:val="24"/>
                <w:szCs w:val="24"/>
              </w:rPr>
              <w:t>3.2 Detailed Requirements</w:t>
            </w:r>
          </w:p>
          <w:p w14:paraId="4ED50944" w14:textId="77777777" w:rsidR="004D5C8B" w:rsidRDefault="004D5C8B">
            <w:pPr>
              <w:rPr>
                <w:b/>
                <w:bCs/>
                <w:sz w:val="24"/>
                <w:szCs w:val="24"/>
              </w:rPr>
            </w:pPr>
          </w:p>
          <w:p w14:paraId="4ED50945" w14:textId="77777777" w:rsidR="004D5C8B" w:rsidRDefault="006D44E7">
            <w:pPr>
              <w:rPr>
                <w:sz w:val="24"/>
                <w:szCs w:val="24"/>
              </w:rPr>
            </w:pPr>
            <w:r>
              <w:rPr>
                <w:sz w:val="24"/>
                <w:szCs w:val="24"/>
              </w:rPr>
              <w:t>3.2.1 Support may be required across all aspects of IT and IT Commercial throughout the duration of the contract:</w:t>
            </w:r>
          </w:p>
          <w:p w14:paraId="4ED50946" w14:textId="77777777" w:rsidR="004D5C8B" w:rsidRDefault="004D5C8B">
            <w:pPr>
              <w:rPr>
                <w:sz w:val="24"/>
                <w:szCs w:val="24"/>
              </w:rPr>
            </w:pPr>
          </w:p>
          <w:p w14:paraId="4ED50947" w14:textId="77777777" w:rsidR="004D5C8B" w:rsidRDefault="006D44E7">
            <w:pPr>
              <w:rPr>
                <w:b/>
                <w:bCs/>
                <w:sz w:val="24"/>
                <w:szCs w:val="24"/>
              </w:rPr>
            </w:pPr>
            <w:r>
              <w:rPr>
                <w:b/>
                <w:bCs/>
                <w:sz w:val="24"/>
                <w:szCs w:val="24"/>
              </w:rPr>
              <w:t>3.3 Complex commercial delivery</w:t>
            </w:r>
          </w:p>
          <w:p w14:paraId="4ED50948" w14:textId="77777777" w:rsidR="004D5C8B" w:rsidRDefault="004D5C8B">
            <w:pPr>
              <w:rPr>
                <w:sz w:val="24"/>
                <w:szCs w:val="24"/>
              </w:rPr>
            </w:pPr>
          </w:p>
          <w:p w14:paraId="4ED50949" w14:textId="77777777" w:rsidR="004D5C8B" w:rsidRDefault="006D44E7">
            <w:pPr>
              <w:rPr>
                <w:sz w:val="24"/>
                <w:szCs w:val="24"/>
              </w:rPr>
            </w:pPr>
            <w:r>
              <w:rPr>
                <w:sz w:val="24"/>
                <w:szCs w:val="24"/>
              </w:rPr>
              <w:t xml:space="preserve">3.3.1 As HMRC continues to re-compete our legacy technology and contracts, establishing robust, </w:t>
            </w:r>
            <w:proofErr w:type="gramStart"/>
            <w:r>
              <w:rPr>
                <w:sz w:val="24"/>
                <w:szCs w:val="24"/>
              </w:rPr>
              <w:t>compliant</w:t>
            </w:r>
            <w:proofErr w:type="gramEnd"/>
            <w:r>
              <w:rPr>
                <w:sz w:val="24"/>
                <w:szCs w:val="24"/>
              </w:rPr>
              <w:t xml:space="preserve"> and new commercial arrangements- there is an ongoing need for services from an external Supplier to support, shape and execute an ongoing portfolio of commercial projects that support this complex transformation. These may include provision of Services for:</w:t>
            </w:r>
          </w:p>
          <w:p w14:paraId="4ED5094A" w14:textId="77777777" w:rsidR="004D5C8B" w:rsidRDefault="004D5C8B">
            <w:pPr>
              <w:rPr>
                <w:sz w:val="24"/>
                <w:szCs w:val="24"/>
              </w:rPr>
            </w:pPr>
          </w:p>
          <w:p w14:paraId="4ED5094B" w14:textId="77777777" w:rsidR="004D5C8B" w:rsidRDefault="006D44E7">
            <w:pPr>
              <w:pStyle w:val="ListParagraph"/>
              <w:numPr>
                <w:ilvl w:val="0"/>
                <w:numId w:val="98"/>
              </w:numPr>
              <w:suppressAutoHyphens w:val="0"/>
              <w:ind w:left="426"/>
              <w:contextualSpacing w:val="0"/>
              <w:textAlignment w:val="auto"/>
            </w:pPr>
            <w:r>
              <w:rPr>
                <w:rFonts w:cs="Arial"/>
                <w:b/>
                <w:bCs/>
                <w:sz w:val="24"/>
                <w:szCs w:val="24"/>
              </w:rPr>
              <w:t xml:space="preserve">Strategy, </w:t>
            </w:r>
            <w:proofErr w:type="gramStart"/>
            <w:r>
              <w:rPr>
                <w:rFonts w:cs="Arial"/>
                <w:b/>
                <w:bCs/>
                <w:sz w:val="24"/>
                <w:szCs w:val="24"/>
              </w:rPr>
              <w:t>mobilisation</w:t>
            </w:r>
            <w:proofErr w:type="gramEnd"/>
            <w:r>
              <w:rPr>
                <w:rFonts w:cs="Arial"/>
                <w:b/>
                <w:bCs/>
                <w:sz w:val="24"/>
                <w:szCs w:val="24"/>
              </w:rPr>
              <w:t xml:space="preserve"> and execution of new procurements</w:t>
            </w:r>
            <w:r>
              <w:rPr>
                <w:rFonts w:cs="Arial"/>
                <w:sz w:val="24"/>
                <w:szCs w:val="24"/>
              </w:rPr>
              <w:t xml:space="preserve">: support will be required where there are gaps in specialist commercial skills or capacity to execute activities including commercial strategy development, ITT drafting, market engagement, evaluation, moderation, award management and transition to post-award contract management. </w:t>
            </w:r>
          </w:p>
          <w:p w14:paraId="4ED5094C" w14:textId="77777777" w:rsidR="004D5C8B" w:rsidRDefault="004D5C8B">
            <w:pPr>
              <w:pStyle w:val="ListParagraph"/>
              <w:ind w:left="426"/>
              <w:contextualSpacing w:val="0"/>
              <w:rPr>
                <w:rFonts w:cs="Arial"/>
                <w:sz w:val="24"/>
                <w:szCs w:val="24"/>
              </w:rPr>
            </w:pPr>
          </w:p>
          <w:p w14:paraId="4ED5094D" w14:textId="77777777" w:rsidR="004D5C8B" w:rsidRDefault="006D44E7">
            <w:pPr>
              <w:pStyle w:val="ListParagraph"/>
              <w:numPr>
                <w:ilvl w:val="0"/>
                <w:numId w:val="98"/>
              </w:numPr>
              <w:suppressAutoHyphens w:val="0"/>
              <w:ind w:left="426"/>
              <w:contextualSpacing w:val="0"/>
              <w:textAlignment w:val="auto"/>
            </w:pPr>
            <w:r>
              <w:rPr>
                <w:rFonts w:cs="Arial"/>
                <w:b/>
                <w:bCs/>
                <w:sz w:val="24"/>
                <w:szCs w:val="24"/>
              </w:rPr>
              <w:lastRenderedPageBreak/>
              <w:t>Development and implementation of complex commercial frameworks</w:t>
            </w:r>
            <w:r>
              <w:rPr>
                <w:rFonts w:cs="Arial"/>
                <w:sz w:val="24"/>
                <w:szCs w:val="24"/>
              </w:rPr>
              <w:t>: where existing options may not meet our requirements, we will need to consider suitable route to market options which can provide the transformation solutions required to deliver our IT strategy. The Supplier shall provide expertise and capacity to support a framework development process, from options assessment, structuring and delivering new frameworks and executing subsequent call-off arrangements.</w:t>
            </w:r>
          </w:p>
          <w:p w14:paraId="4ED5094E" w14:textId="77777777" w:rsidR="004D5C8B" w:rsidRDefault="004D5C8B">
            <w:pPr>
              <w:pStyle w:val="ListParagraph"/>
              <w:ind w:left="426"/>
              <w:contextualSpacing w:val="0"/>
              <w:rPr>
                <w:rFonts w:cs="Arial"/>
                <w:sz w:val="24"/>
                <w:szCs w:val="24"/>
              </w:rPr>
            </w:pPr>
          </w:p>
          <w:p w14:paraId="4ED5094F" w14:textId="77777777" w:rsidR="004D5C8B" w:rsidRDefault="006D44E7">
            <w:pPr>
              <w:pStyle w:val="ListParagraph"/>
              <w:numPr>
                <w:ilvl w:val="0"/>
                <w:numId w:val="98"/>
              </w:numPr>
              <w:suppressAutoHyphens w:val="0"/>
              <w:ind w:left="426"/>
              <w:contextualSpacing w:val="0"/>
              <w:textAlignment w:val="auto"/>
            </w:pPr>
            <w:r>
              <w:rPr>
                <w:rFonts w:cs="Arial"/>
                <w:b/>
                <w:bCs/>
                <w:sz w:val="24"/>
                <w:szCs w:val="24"/>
              </w:rPr>
              <w:t>Strategic pipeline planning</w:t>
            </w:r>
            <w:r>
              <w:rPr>
                <w:rFonts w:cs="Arial"/>
                <w:sz w:val="24"/>
                <w:szCs w:val="24"/>
              </w:rPr>
              <w:t xml:space="preserve">: the HMRC commercial team is building the capability to improve its pipeline management and would benefit from support to continuously improve this capability (a more detailed and accurate pipeline) - with recommendations and support to embed an effective pipeline planning and portfolio prioritisation approach across a complex spend profile. This may include reviewing tools, </w:t>
            </w:r>
            <w:proofErr w:type="gramStart"/>
            <w:r>
              <w:rPr>
                <w:rFonts w:cs="Arial"/>
                <w:sz w:val="24"/>
                <w:szCs w:val="24"/>
              </w:rPr>
              <w:t>processes</w:t>
            </w:r>
            <w:proofErr w:type="gramEnd"/>
            <w:r>
              <w:rPr>
                <w:rFonts w:cs="Arial"/>
                <w:sz w:val="24"/>
                <w:szCs w:val="24"/>
              </w:rPr>
              <w:t xml:space="preserve"> and reporting mechanisms.</w:t>
            </w:r>
          </w:p>
          <w:p w14:paraId="4ED50950" w14:textId="77777777" w:rsidR="004D5C8B" w:rsidRDefault="004D5C8B">
            <w:pPr>
              <w:ind w:left="426"/>
              <w:rPr>
                <w:b/>
                <w:bCs/>
                <w:sz w:val="24"/>
                <w:szCs w:val="24"/>
              </w:rPr>
            </w:pPr>
          </w:p>
          <w:p w14:paraId="4ED50951" w14:textId="77777777" w:rsidR="004D5C8B" w:rsidRDefault="006D44E7">
            <w:pPr>
              <w:pStyle w:val="ListParagraph"/>
              <w:numPr>
                <w:ilvl w:val="0"/>
                <w:numId w:val="98"/>
              </w:numPr>
              <w:suppressAutoHyphens w:val="0"/>
              <w:ind w:left="426"/>
              <w:contextualSpacing w:val="0"/>
              <w:textAlignment w:val="auto"/>
            </w:pPr>
            <w:r>
              <w:rPr>
                <w:rFonts w:cs="Arial"/>
                <w:b/>
                <w:bCs/>
                <w:sz w:val="24"/>
                <w:szCs w:val="24"/>
              </w:rPr>
              <w:t>Business case and cost modelling</w:t>
            </w:r>
            <w:r>
              <w:rPr>
                <w:rFonts w:cs="Arial"/>
                <w:sz w:val="24"/>
                <w:szCs w:val="24"/>
              </w:rPr>
              <w:t xml:space="preserve">: support drafting of commercial cases in line with organisational and Treasury approvals, </w:t>
            </w:r>
            <w:proofErr w:type="gramStart"/>
            <w:r>
              <w:rPr>
                <w:rFonts w:cs="Arial"/>
                <w:sz w:val="24"/>
                <w:szCs w:val="24"/>
              </w:rPr>
              <w:t>development</w:t>
            </w:r>
            <w:proofErr w:type="gramEnd"/>
            <w:r>
              <w:rPr>
                <w:rFonts w:cs="Arial"/>
                <w:sz w:val="24"/>
                <w:szCs w:val="24"/>
              </w:rPr>
              <w:t xml:space="preserve"> and management of should-cost-models (SCMs) to support business case evaluation. This include conducting data gathering and analysis, options </w:t>
            </w:r>
            <w:proofErr w:type="gramStart"/>
            <w:r>
              <w:rPr>
                <w:rFonts w:cs="Arial"/>
                <w:sz w:val="24"/>
                <w:szCs w:val="24"/>
              </w:rPr>
              <w:t>assessment</w:t>
            </w:r>
            <w:proofErr w:type="gramEnd"/>
            <w:r>
              <w:rPr>
                <w:rFonts w:cs="Arial"/>
                <w:sz w:val="24"/>
                <w:szCs w:val="24"/>
              </w:rPr>
              <w:t xml:space="preserve"> and recommendations.</w:t>
            </w:r>
          </w:p>
          <w:p w14:paraId="4ED50952" w14:textId="77777777" w:rsidR="004D5C8B" w:rsidRDefault="004D5C8B">
            <w:pPr>
              <w:rPr>
                <w:sz w:val="24"/>
                <w:szCs w:val="24"/>
              </w:rPr>
            </w:pPr>
          </w:p>
          <w:p w14:paraId="4ED50953" w14:textId="77777777" w:rsidR="004D5C8B" w:rsidRDefault="006D44E7">
            <w:pPr>
              <w:rPr>
                <w:b/>
                <w:bCs/>
                <w:sz w:val="24"/>
                <w:szCs w:val="24"/>
              </w:rPr>
            </w:pPr>
            <w:r>
              <w:rPr>
                <w:b/>
                <w:bCs/>
                <w:sz w:val="24"/>
                <w:szCs w:val="24"/>
              </w:rPr>
              <w:t>3.4 Commercial capability transformation</w:t>
            </w:r>
          </w:p>
          <w:p w14:paraId="4ED50954" w14:textId="77777777" w:rsidR="004D5C8B" w:rsidRDefault="004D5C8B">
            <w:pPr>
              <w:rPr>
                <w:sz w:val="24"/>
                <w:szCs w:val="24"/>
              </w:rPr>
            </w:pPr>
          </w:p>
          <w:p w14:paraId="4ED50955" w14:textId="77777777" w:rsidR="004D5C8B" w:rsidRDefault="006D44E7">
            <w:pPr>
              <w:rPr>
                <w:sz w:val="24"/>
                <w:szCs w:val="24"/>
              </w:rPr>
            </w:pPr>
            <w:r>
              <w:rPr>
                <w:sz w:val="24"/>
                <w:szCs w:val="24"/>
              </w:rPr>
              <w:t xml:space="preserve">3.4.1 HMRC Commercial will benefit from continuing to evolve its maturity through continuous improvements to its ways of working and operating model, alongside its continued capability build across pre and post award. Support may be required across: </w:t>
            </w:r>
          </w:p>
          <w:p w14:paraId="4ED50956" w14:textId="77777777" w:rsidR="004D5C8B" w:rsidRDefault="004D5C8B">
            <w:pPr>
              <w:pStyle w:val="ListParagraph"/>
              <w:ind w:left="360"/>
              <w:rPr>
                <w:rFonts w:cs="Arial"/>
                <w:b/>
                <w:bCs/>
                <w:sz w:val="24"/>
                <w:szCs w:val="24"/>
                <w:u w:val="single"/>
              </w:rPr>
            </w:pPr>
          </w:p>
          <w:p w14:paraId="4ED50957" w14:textId="77777777" w:rsidR="004D5C8B" w:rsidRDefault="006D44E7">
            <w:pPr>
              <w:pStyle w:val="ListParagraph"/>
              <w:numPr>
                <w:ilvl w:val="0"/>
                <w:numId w:val="99"/>
              </w:numPr>
              <w:suppressAutoHyphens w:val="0"/>
              <w:ind w:left="426"/>
              <w:contextualSpacing w:val="0"/>
              <w:textAlignment w:val="auto"/>
            </w:pPr>
            <w:r>
              <w:rPr>
                <w:rFonts w:cs="Arial"/>
                <w:b/>
                <w:bCs/>
                <w:sz w:val="24"/>
                <w:szCs w:val="24"/>
              </w:rPr>
              <w:t>Commercial operating model enhancement</w:t>
            </w:r>
            <w:r>
              <w:rPr>
                <w:rFonts w:cs="Arial"/>
                <w:sz w:val="24"/>
                <w:szCs w:val="24"/>
              </w:rPr>
              <w:t>: provide design and implementation expertise across commercial operating model components</w:t>
            </w:r>
          </w:p>
          <w:p w14:paraId="4ED50958"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t>Pre-contract award: refinement of the pre-award operating model in line with changing customer requirements, including structural changes required to evolve the category management model to reflect CDIO strategy and structure</w:t>
            </w:r>
          </w:p>
          <w:p w14:paraId="4ED50959"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t xml:space="preserve">Post-contract award: assessment, design and implementation of a future post-award operating model including structures, processes, capabilities, </w:t>
            </w:r>
            <w:proofErr w:type="gramStart"/>
            <w:r>
              <w:rPr>
                <w:rFonts w:cs="Arial"/>
                <w:sz w:val="24"/>
                <w:szCs w:val="24"/>
              </w:rPr>
              <w:t>governance</w:t>
            </w:r>
            <w:proofErr w:type="gramEnd"/>
            <w:r>
              <w:rPr>
                <w:rFonts w:cs="Arial"/>
                <w:sz w:val="24"/>
                <w:szCs w:val="24"/>
              </w:rPr>
              <w:t xml:space="preserve"> and systems required. </w:t>
            </w:r>
          </w:p>
          <w:p w14:paraId="4ED5095A" w14:textId="77777777" w:rsidR="004D5C8B" w:rsidRDefault="004D5C8B">
            <w:pPr>
              <w:pStyle w:val="ListParagraph"/>
              <w:ind w:left="426"/>
              <w:rPr>
                <w:rFonts w:cs="Arial"/>
                <w:sz w:val="24"/>
                <w:szCs w:val="24"/>
              </w:rPr>
            </w:pPr>
          </w:p>
          <w:p w14:paraId="4ED5095B" w14:textId="77777777" w:rsidR="004D5C8B" w:rsidRDefault="006D44E7">
            <w:pPr>
              <w:pStyle w:val="ListParagraph"/>
              <w:numPr>
                <w:ilvl w:val="0"/>
                <w:numId w:val="99"/>
              </w:numPr>
              <w:suppressAutoHyphens w:val="0"/>
              <w:ind w:left="426"/>
              <w:contextualSpacing w:val="0"/>
              <w:textAlignment w:val="auto"/>
            </w:pPr>
            <w:r>
              <w:rPr>
                <w:rFonts w:cs="Arial"/>
                <w:b/>
                <w:bCs/>
                <w:sz w:val="24"/>
                <w:szCs w:val="24"/>
              </w:rPr>
              <w:t>Commercial performance management</w:t>
            </w:r>
            <w:r>
              <w:rPr>
                <w:rFonts w:cs="Arial"/>
                <w:sz w:val="24"/>
                <w:szCs w:val="24"/>
              </w:rPr>
              <w:t xml:space="preserve">: as we transition to operating in a multi-supplier landscape, we want to ensure commercial arrangements continue to deliver value for money. Support may be required to review existing commercial performance measures, provide analysis of value delivery of contracts, and provide recommendations on the most appropriate supplier performance management approach. </w:t>
            </w:r>
          </w:p>
          <w:p w14:paraId="4ED5095C" w14:textId="77777777" w:rsidR="004D5C8B" w:rsidRDefault="004D5C8B">
            <w:pPr>
              <w:pStyle w:val="ListParagraph"/>
              <w:ind w:left="426"/>
              <w:rPr>
                <w:rFonts w:cs="Arial"/>
                <w:sz w:val="24"/>
                <w:szCs w:val="24"/>
              </w:rPr>
            </w:pPr>
          </w:p>
          <w:p w14:paraId="4ED5095D" w14:textId="77777777" w:rsidR="004D5C8B" w:rsidRDefault="006D44E7">
            <w:pPr>
              <w:pStyle w:val="ListParagraph"/>
              <w:numPr>
                <w:ilvl w:val="0"/>
                <w:numId w:val="99"/>
              </w:numPr>
              <w:suppressAutoHyphens w:val="0"/>
              <w:ind w:left="426"/>
              <w:contextualSpacing w:val="0"/>
              <w:textAlignment w:val="auto"/>
            </w:pPr>
            <w:r>
              <w:rPr>
                <w:rFonts w:cs="Arial"/>
                <w:b/>
                <w:bCs/>
                <w:sz w:val="24"/>
                <w:szCs w:val="24"/>
              </w:rPr>
              <w:t>Capability development</w:t>
            </w:r>
            <w:r>
              <w:rPr>
                <w:rFonts w:cs="Arial"/>
                <w:sz w:val="24"/>
                <w:szCs w:val="24"/>
              </w:rPr>
              <w:t>: delivery of a capability development roadmap with relevant commercial training, change management and best practice artefacts to support our transformation objectives across multi-disciplinary teams</w:t>
            </w:r>
          </w:p>
          <w:p w14:paraId="4ED5095E"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t>Bespoke commercial training: enhancement of commercial capabilities across IT Commercial.</w:t>
            </w:r>
          </w:p>
          <w:p w14:paraId="4ED5095F"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t xml:space="preserve">Contract and Supplier Management capabilities across CDIO. </w:t>
            </w:r>
          </w:p>
          <w:p w14:paraId="4ED50960"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t>Best practice commercial standards: development of relevant templates, processes, artefacts</w:t>
            </w:r>
          </w:p>
          <w:p w14:paraId="4ED50961" w14:textId="77777777" w:rsidR="004D5C8B" w:rsidRDefault="006D44E7">
            <w:pPr>
              <w:pStyle w:val="ListParagraph"/>
              <w:numPr>
                <w:ilvl w:val="2"/>
                <w:numId w:val="99"/>
              </w:numPr>
              <w:suppressAutoHyphens w:val="0"/>
              <w:ind w:left="426"/>
              <w:textAlignment w:val="auto"/>
              <w:rPr>
                <w:rFonts w:cs="Arial"/>
                <w:sz w:val="24"/>
                <w:szCs w:val="24"/>
              </w:rPr>
            </w:pPr>
            <w:r>
              <w:rPr>
                <w:rFonts w:cs="Arial"/>
                <w:sz w:val="24"/>
                <w:szCs w:val="24"/>
              </w:rPr>
              <w:lastRenderedPageBreak/>
              <w:t>Knowledge transfer: the Supplier will be required to provide knowledge transfer activities to the in-house Commercial team.</w:t>
            </w:r>
          </w:p>
          <w:p w14:paraId="4ED50962" w14:textId="77777777" w:rsidR="004D5C8B" w:rsidRDefault="004D5C8B">
            <w:pPr>
              <w:pStyle w:val="ListParagraph"/>
              <w:ind w:left="2160"/>
              <w:rPr>
                <w:rFonts w:cs="Arial"/>
                <w:sz w:val="24"/>
                <w:szCs w:val="24"/>
              </w:rPr>
            </w:pPr>
          </w:p>
          <w:p w14:paraId="4ED50963" w14:textId="77777777" w:rsidR="004D5C8B" w:rsidRDefault="006D44E7">
            <w:pPr>
              <w:rPr>
                <w:b/>
                <w:bCs/>
                <w:sz w:val="24"/>
                <w:szCs w:val="24"/>
              </w:rPr>
            </w:pPr>
            <w:r>
              <w:rPr>
                <w:b/>
                <w:bCs/>
                <w:sz w:val="24"/>
                <w:szCs w:val="24"/>
              </w:rPr>
              <w:t>3.5 Commercial business partnering across complex programmes</w:t>
            </w:r>
          </w:p>
          <w:p w14:paraId="4ED50964" w14:textId="77777777" w:rsidR="004D5C8B" w:rsidRDefault="004D5C8B">
            <w:pPr>
              <w:rPr>
                <w:sz w:val="24"/>
                <w:szCs w:val="24"/>
              </w:rPr>
            </w:pPr>
          </w:p>
          <w:p w14:paraId="4ED50965" w14:textId="77777777" w:rsidR="004D5C8B" w:rsidRDefault="006D44E7">
            <w:pPr>
              <w:rPr>
                <w:sz w:val="24"/>
                <w:szCs w:val="24"/>
              </w:rPr>
            </w:pPr>
            <w:r>
              <w:rPr>
                <w:sz w:val="24"/>
                <w:szCs w:val="24"/>
              </w:rPr>
              <w:t>3.5.1 Commercial will play an increasingly strategic role in the delivery of the transformation of the HMRC Technology estate. There will be multiple portfolios of work with cross-programme interdependencies requiring strategic commercial input:</w:t>
            </w:r>
          </w:p>
          <w:p w14:paraId="4ED50966" w14:textId="77777777" w:rsidR="004D5C8B" w:rsidRDefault="004D5C8B">
            <w:pPr>
              <w:pStyle w:val="ListParagraph"/>
              <w:ind w:left="360"/>
              <w:rPr>
                <w:rFonts w:cs="Arial"/>
                <w:bCs/>
                <w:sz w:val="24"/>
                <w:szCs w:val="24"/>
              </w:rPr>
            </w:pPr>
          </w:p>
          <w:p w14:paraId="4ED50967" w14:textId="77777777" w:rsidR="004D5C8B" w:rsidRDefault="006D44E7">
            <w:pPr>
              <w:pStyle w:val="ListParagraph"/>
              <w:numPr>
                <w:ilvl w:val="0"/>
                <w:numId w:val="100"/>
              </w:numPr>
              <w:suppressAutoHyphens w:val="0"/>
              <w:ind w:left="426"/>
              <w:contextualSpacing w:val="0"/>
              <w:textAlignment w:val="auto"/>
            </w:pPr>
            <w:r>
              <w:rPr>
                <w:rFonts w:cs="Arial"/>
                <w:b/>
                <w:bCs/>
                <w:sz w:val="24"/>
                <w:szCs w:val="24"/>
              </w:rPr>
              <w:t>Strategic commercial advice</w:t>
            </w:r>
            <w:r>
              <w:rPr>
                <w:rFonts w:cs="Arial"/>
                <w:sz w:val="24"/>
                <w:szCs w:val="24"/>
              </w:rPr>
              <w:t>: provide strategic commercial advice with relevant options assessment in shaping strategies. The Supplier will need to bring together specialist technical and commercial skills with an understanding of the complexities and challenges of delivering IT modernisation. This will include providing advice and thought leadership on wider government precedents, leading market practices and market factors.</w:t>
            </w:r>
          </w:p>
          <w:p w14:paraId="4ED50968" w14:textId="77777777" w:rsidR="004D5C8B" w:rsidRDefault="004D5C8B">
            <w:pPr>
              <w:ind w:left="426"/>
              <w:rPr>
                <w:rFonts w:eastAsia="Calibri"/>
                <w:sz w:val="24"/>
                <w:szCs w:val="24"/>
              </w:rPr>
            </w:pPr>
          </w:p>
          <w:p w14:paraId="4ED50969" w14:textId="77777777" w:rsidR="004D5C8B" w:rsidRDefault="006D44E7">
            <w:pPr>
              <w:pStyle w:val="ListParagraph"/>
              <w:numPr>
                <w:ilvl w:val="0"/>
                <w:numId w:val="100"/>
              </w:numPr>
              <w:suppressAutoHyphens w:val="0"/>
              <w:ind w:left="426"/>
              <w:contextualSpacing w:val="0"/>
              <w:textAlignment w:val="auto"/>
            </w:pPr>
            <w:r>
              <w:rPr>
                <w:rFonts w:cs="Arial"/>
                <w:b/>
                <w:bCs/>
                <w:sz w:val="24"/>
                <w:szCs w:val="24"/>
              </w:rPr>
              <w:t xml:space="preserve">Embed business partnering and value optimisation across Commercial’s customer chain within HMRC: </w:t>
            </w:r>
            <w:r>
              <w:rPr>
                <w:rFonts w:cs="Arial"/>
                <w:sz w:val="24"/>
                <w:szCs w:val="24"/>
              </w:rPr>
              <w:t xml:space="preserve"> provide support to embed role of Commercial as strategic partner across HMRC, including within CDIO and the Transformation Programmes, as the operating model continues to develop to achieve joint outcomes. </w:t>
            </w:r>
          </w:p>
          <w:p w14:paraId="4ED5096A" w14:textId="77777777" w:rsidR="004D5C8B" w:rsidRDefault="004D5C8B">
            <w:pPr>
              <w:rPr>
                <w:sz w:val="24"/>
                <w:szCs w:val="24"/>
              </w:rPr>
            </w:pPr>
          </w:p>
          <w:p w14:paraId="4ED5096B" w14:textId="77777777" w:rsidR="004D5C8B" w:rsidRDefault="006D44E7">
            <w:pPr>
              <w:rPr>
                <w:rFonts w:eastAsia="Calibri"/>
                <w:b/>
                <w:bCs/>
                <w:sz w:val="24"/>
                <w:szCs w:val="24"/>
                <w:lang w:eastAsia="en-US"/>
              </w:rPr>
            </w:pPr>
            <w:r>
              <w:rPr>
                <w:rFonts w:eastAsia="Calibri"/>
                <w:b/>
                <w:bCs/>
                <w:sz w:val="24"/>
                <w:szCs w:val="24"/>
                <w:lang w:eastAsia="en-US"/>
              </w:rPr>
              <w:t>3.6 Statement of Works (SoWs)</w:t>
            </w:r>
          </w:p>
          <w:p w14:paraId="4ED5096C" w14:textId="77777777" w:rsidR="004D5C8B" w:rsidRDefault="004D5C8B">
            <w:pPr>
              <w:rPr>
                <w:rFonts w:eastAsia="Calibri"/>
                <w:b/>
                <w:bCs/>
                <w:sz w:val="24"/>
                <w:szCs w:val="24"/>
                <w:lang w:eastAsia="en-US"/>
              </w:rPr>
            </w:pPr>
          </w:p>
          <w:p w14:paraId="4ED5096D" w14:textId="77777777" w:rsidR="004D5C8B" w:rsidRDefault="006D44E7">
            <w:pPr>
              <w:rPr>
                <w:rFonts w:eastAsia="Calibri"/>
                <w:sz w:val="24"/>
                <w:szCs w:val="24"/>
                <w:lang w:eastAsia="en-US"/>
              </w:rPr>
            </w:pPr>
            <w:r>
              <w:rPr>
                <w:rFonts w:eastAsia="Calibri"/>
                <w:sz w:val="24"/>
                <w:szCs w:val="24"/>
                <w:lang w:eastAsia="en-US"/>
              </w:rPr>
              <w:t>3.6.1 For Statement of Work packages required under the auspices of this Call-Off Contract, the following process will be used:</w:t>
            </w:r>
          </w:p>
          <w:p w14:paraId="4ED5096E" w14:textId="77777777" w:rsidR="004D5C8B" w:rsidRDefault="004D5C8B">
            <w:pPr>
              <w:rPr>
                <w:rFonts w:eastAsia="Calibri"/>
                <w:sz w:val="24"/>
                <w:szCs w:val="24"/>
                <w:lang w:eastAsia="en-US"/>
              </w:rPr>
            </w:pPr>
          </w:p>
          <w:p w14:paraId="4ED5096F" w14:textId="77777777" w:rsidR="004D5C8B" w:rsidRDefault="006D44E7">
            <w:pPr>
              <w:pStyle w:val="ListParagraph"/>
              <w:numPr>
                <w:ilvl w:val="0"/>
                <w:numId w:val="101"/>
              </w:numPr>
              <w:suppressAutoHyphens w:val="0"/>
              <w:ind w:left="426"/>
              <w:textAlignment w:val="auto"/>
              <w:rPr>
                <w:rFonts w:eastAsia="Calibri" w:cs="Arial"/>
                <w:sz w:val="24"/>
                <w:szCs w:val="24"/>
                <w:lang w:eastAsia="en-US"/>
              </w:rPr>
            </w:pPr>
            <w:r>
              <w:rPr>
                <w:rFonts w:eastAsia="Calibri" w:cs="Arial"/>
                <w:sz w:val="24"/>
                <w:szCs w:val="24"/>
                <w:lang w:eastAsia="en-US"/>
              </w:rPr>
              <w:t>HMRC will make a request in writing to the Supplier to provide a proposal in a SoW format. The request will include a specification of requirements detailing the work needed, the outcomes required, and the date the Supplier’s SoW proposal is required by.</w:t>
            </w:r>
          </w:p>
          <w:p w14:paraId="4ED50970" w14:textId="77777777" w:rsidR="004D5C8B" w:rsidRDefault="004D5C8B">
            <w:pPr>
              <w:ind w:left="426" w:hanging="360"/>
              <w:rPr>
                <w:rFonts w:eastAsia="Calibri"/>
                <w:sz w:val="24"/>
                <w:szCs w:val="24"/>
                <w:lang w:eastAsia="en-US"/>
              </w:rPr>
            </w:pPr>
          </w:p>
          <w:p w14:paraId="4ED50971" w14:textId="77777777" w:rsidR="004D5C8B" w:rsidRDefault="006D44E7">
            <w:pPr>
              <w:pStyle w:val="ListParagraph"/>
              <w:numPr>
                <w:ilvl w:val="0"/>
                <w:numId w:val="101"/>
              </w:numPr>
              <w:suppressAutoHyphens w:val="0"/>
              <w:ind w:left="426"/>
              <w:textAlignment w:val="auto"/>
              <w:rPr>
                <w:rFonts w:eastAsia="Calibri" w:cs="Arial"/>
                <w:sz w:val="24"/>
                <w:szCs w:val="24"/>
                <w:lang w:eastAsia="en-US"/>
              </w:rPr>
            </w:pPr>
            <w:r>
              <w:rPr>
                <w:rFonts w:eastAsia="Calibri" w:cs="Arial"/>
                <w:sz w:val="24"/>
                <w:szCs w:val="24"/>
                <w:lang w:eastAsia="en-US"/>
              </w:rPr>
              <w:t>The Supplier will provide the SoW proposal to HMRC, which will include a project plan of the milestones needed to deliver the outcomes.</w:t>
            </w:r>
          </w:p>
          <w:p w14:paraId="4ED50972" w14:textId="77777777" w:rsidR="004D5C8B" w:rsidRDefault="004D5C8B">
            <w:pPr>
              <w:ind w:left="426" w:hanging="360"/>
              <w:rPr>
                <w:rFonts w:eastAsia="Calibri"/>
                <w:sz w:val="24"/>
                <w:szCs w:val="24"/>
                <w:lang w:eastAsia="en-US"/>
              </w:rPr>
            </w:pPr>
          </w:p>
          <w:p w14:paraId="4ED50973" w14:textId="77777777" w:rsidR="004D5C8B" w:rsidRDefault="006D44E7">
            <w:pPr>
              <w:pStyle w:val="ListParagraph"/>
              <w:numPr>
                <w:ilvl w:val="0"/>
                <w:numId w:val="101"/>
              </w:numPr>
              <w:suppressAutoHyphens w:val="0"/>
              <w:ind w:left="426"/>
              <w:textAlignment w:val="auto"/>
              <w:rPr>
                <w:rFonts w:eastAsia="Calibri" w:cs="Arial"/>
                <w:sz w:val="24"/>
                <w:szCs w:val="24"/>
                <w:lang w:eastAsia="en-US"/>
              </w:rPr>
            </w:pPr>
            <w:r>
              <w:rPr>
                <w:rFonts w:eastAsia="Calibri" w:cs="Arial"/>
                <w:sz w:val="24"/>
                <w:szCs w:val="24"/>
                <w:lang w:eastAsia="en-US"/>
              </w:rPr>
              <w:t>Upon receipt, HMRC will review the SoW proposal and reserves the right to request any changes to the SoW proposal as may be required to ensure the required outcomes will be delivered to HMRC’s satisfaction.</w:t>
            </w:r>
          </w:p>
          <w:p w14:paraId="4ED50974" w14:textId="77777777" w:rsidR="004D5C8B" w:rsidRDefault="004D5C8B">
            <w:pPr>
              <w:ind w:left="426" w:hanging="360"/>
              <w:rPr>
                <w:rFonts w:eastAsia="Calibri"/>
                <w:sz w:val="24"/>
                <w:szCs w:val="24"/>
                <w:lang w:eastAsia="en-US"/>
              </w:rPr>
            </w:pPr>
          </w:p>
          <w:p w14:paraId="4ED50975" w14:textId="77777777" w:rsidR="004D5C8B" w:rsidRDefault="006D44E7">
            <w:pPr>
              <w:pStyle w:val="ListParagraph"/>
              <w:numPr>
                <w:ilvl w:val="0"/>
                <w:numId w:val="101"/>
              </w:numPr>
              <w:suppressAutoHyphens w:val="0"/>
              <w:ind w:left="426"/>
              <w:textAlignment w:val="auto"/>
              <w:rPr>
                <w:rFonts w:eastAsia="Calibri" w:cs="Arial"/>
                <w:sz w:val="24"/>
                <w:szCs w:val="24"/>
                <w:lang w:eastAsia="en-US"/>
              </w:rPr>
            </w:pPr>
            <w:r>
              <w:rPr>
                <w:rFonts w:eastAsia="Calibri" w:cs="Arial"/>
                <w:sz w:val="24"/>
                <w:szCs w:val="24"/>
                <w:lang w:eastAsia="en-US"/>
              </w:rPr>
              <w:t>Once the final SoW proposal is agreed by both parties, HMRC will attach/include the SoW proposal as part of the Call-Off Contract documentation, using the formal Call Off Award Procedure, (Framework Schedule 7) where appropriate.</w:t>
            </w:r>
          </w:p>
          <w:p w14:paraId="4ED50976" w14:textId="77777777" w:rsidR="004D5C8B" w:rsidRDefault="004D5C8B">
            <w:pPr>
              <w:rPr>
                <w:b/>
                <w:sz w:val="24"/>
                <w:szCs w:val="24"/>
                <w:shd w:val="clear" w:color="auto" w:fill="FFFF00"/>
              </w:rPr>
            </w:pPr>
          </w:p>
          <w:p w14:paraId="4ED50977" w14:textId="77777777" w:rsidR="004D5C8B" w:rsidRDefault="006D44E7">
            <w:pPr>
              <w:pStyle w:val="Heading1"/>
              <w:ind w:left="720" w:right="1730" w:hanging="720"/>
              <w:jc w:val="both"/>
              <w:rPr>
                <w:b/>
                <w:bCs/>
                <w:sz w:val="24"/>
                <w:szCs w:val="24"/>
              </w:rPr>
            </w:pPr>
            <w:bookmarkStart w:id="0" w:name="_Toc368573032"/>
            <w:bookmarkStart w:id="1" w:name="_Toc483226219"/>
            <w:r>
              <w:rPr>
                <w:b/>
                <w:bCs/>
                <w:sz w:val="24"/>
                <w:szCs w:val="24"/>
              </w:rPr>
              <w:t xml:space="preserve">3.7 Key Milestones </w:t>
            </w:r>
            <w:bookmarkEnd w:id="0"/>
            <w:bookmarkEnd w:id="1"/>
          </w:p>
          <w:p w14:paraId="4ED50978" w14:textId="77777777" w:rsidR="004D5C8B" w:rsidRDefault="004D5C8B">
            <w:pPr>
              <w:rPr>
                <w:sz w:val="24"/>
                <w:szCs w:val="24"/>
                <w:lang w:eastAsia="en-US"/>
              </w:rPr>
            </w:pPr>
          </w:p>
          <w:p w14:paraId="4ED50979" w14:textId="77777777" w:rsidR="004D5C8B" w:rsidRDefault="006D44E7">
            <w:pPr>
              <w:rPr>
                <w:rFonts w:eastAsia="Calibri"/>
                <w:sz w:val="24"/>
                <w:szCs w:val="24"/>
                <w:lang w:eastAsia="en-US"/>
              </w:rPr>
            </w:pPr>
            <w:r>
              <w:rPr>
                <w:rFonts w:eastAsia="Calibri"/>
                <w:sz w:val="24"/>
                <w:szCs w:val="24"/>
                <w:lang w:eastAsia="en-US"/>
              </w:rPr>
              <w:t xml:space="preserve">3.7.1 SoWs will be assigned to cover estimated durations of at least three months. </w:t>
            </w:r>
          </w:p>
          <w:p w14:paraId="4ED5097A" w14:textId="77777777" w:rsidR="004D5C8B" w:rsidRDefault="004D5C8B">
            <w:pPr>
              <w:rPr>
                <w:sz w:val="24"/>
                <w:szCs w:val="24"/>
                <w:lang w:eastAsia="en-US"/>
              </w:rPr>
            </w:pPr>
          </w:p>
          <w:p w14:paraId="4ED5097B" w14:textId="77777777" w:rsidR="004D5C8B" w:rsidRDefault="006D44E7">
            <w:pPr>
              <w:rPr>
                <w:rFonts w:eastAsia="Calibri"/>
                <w:sz w:val="24"/>
                <w:szCs w:val="24"/>
                <w:lang w:eastAsia="en-US"/>
              </w:rPr>
            </w:pPr>
            <w:r>
              <w:rPr>
                <w:rFonts w:eastAsia="Calibri"/>
                <w:sz w:val="24"/>
                <w:szCs w:val="24"/>
                <w:lang w:eastAsia="en-US"/>
              </w:rPr>
              <w:lastRenderedPageBreak/>
              <w:t xml:space="preserve">3.7.2 Milestones will identify overall delivery aims and specific tasks will be assigned and agreed in-life using a template SoW to track assignment, </w:t>
            </w:r>
            <w:proofErr w:type="gramStart"/>
            <w:r>
              <w:rPr>
                <w:rFonts w:eastAsia="Calibri"/>
                <w:sz w:val="24"/>
                <w:szCs w:val="24"/>
                <w:lang w:eastAsia="en-US"/>
              </w:rPr>
              <w:t>cost</w:t>
            </w:r>
            <w:proofErr w:type="gramEnd"/>
            <w:r>
              <w:rPr>
                <w:rFonts w:eastAsia="Calibri"/>
                <w:sz w:val="24"/>
                <w:szCs w:val="24"/>
                <w:lang w:eastAsia="en-US"/>
              </w:rPr>
              <w:t xml:space="preserve"> and outcome delivery. </w:t>
            </w:r>
          </w:p>
          <w:p w14:paraId="4ED5097C" w14:textId="77777777" w:rsidR="004D5C8B" w:rsidRDefault="004D5C8B">
            <w:pPr>
              <w:rPr>
                <w:rFonts w:eastAsia="Calibri"/>
                <w:sz w:val="24"/>
                <w:szCs w:val="24"/>
                <w:lang w:eastAsia="en-US"/>
              </w:rPr>
            </w:pPr>
          </w:p>
          <w:p w14:paraId="4ED5097D" w14:textId="77777777" w:rsidR="004D5C8B" w:rsidRDefault="006D44E7">
            <w:pPr>
              <w:rPr>
                <w:rFonts w:eastAsia="Calibri"/>
                <w:b/>
                <w:bCs/>
                <w:sz w:val="24"/>
                <w:szCs w:val="24"/>
                <w:lang w:eastAsia="en-US"/>
              </w:rPr>
            </w:pPr>
            <w:r>
              <w:rPr>
                <w:rFonts w:eastAsia="Calibri"/>
                <w:b/>
                <w:bCs/>
                <w:sz w:val="24"/>
                <w:szCs w:val="24"/>
                <w:lang w:eastAsia="en-US"/>
              </w:rPr>
              <w:t>3.8 Duration</w:t>
            </w:r>
          </w:p>
          <w:p w14:paraId="4ED5097E" w14:textId="77777777" w:rsidR="004D5C8B" w:rsidRDefault="004D5C8B">
            <w:pPr>
              <w:rPr>
                <w:rFonts w:eastAsia="Calibri"/>
                <w:b/>
                <w:bCs/>
                <w:sz w:val="24"/>
                <w:szCs w:val="24"/>
                <w:lang w:eastAsia="en-US"/>
              </w:rPr>
            </w:pPr>
          </w:p>
          <w:p w14:paraId="4ED5097F" w14:textId="77777777" w:rsidR="004D5C8B" w:rsidRDefault="006D44E7">
            <w:r>
              <w:rPr>
                <w:rFonts w:eastAsia="Calibri"/>
                <w:sz w:val="24"/>
                <w:szCs w:val="24"/>
                <w:lang w:eastAsia="en-US"/>
              </w:rPr>
              <w:t>3.8.1 The proposed start date for the Call-Off Contract will be 20</w:t>
            </w:r>
            <w:r>
              <w:rPr>
                <w:rFonts w:eastAsia="Calibri"/>
                <w:sz w:val="24"/>
                <w:szCs w:val="24"/>
                <w:vertAlign w:val="superscript"/>
                <w:lang w:eastAsia="en-US"/>
              </w:rPr>
              <w:t>th</w:t>
            </w:r>
            <w:r>
              <w:rPr>
                <w:rFonts w:eastAsia="Calibri"/>
                <w:sz w:val="24"/>
                <w:szCs w:val="24"/>
                <w:lang w:eastAsia="en-US"/>
              </w:rPr>
              <w:t xml:space="preserve"> of February 2023.</w:t>
            </w:r>
          </w:p>
          <w:p w14:paraId="4ED50980" w14:textId="77777777" w:rsidR="004D5C8B" w:rsidRDefault="004D5C8B">
            <w:pPr>
              <w:rPr>
                <w:rFonts w:eastAsia="Calibri"/>
                <w:sz w:val="24"/>
                <w:szCs w:val="24"/>
                <w:lang w:eastAsia="en-US"/>
              </w:rPr>
            </w:pPr>
          </w:p>
          <w:p w14:paraId="4ED50981" w14:textId="77777777" w:rsidR="004D5C8B" w:rsidRDefault="006D44E7">
            <w:pPr>
              <w:rPr>
                <w:rFonts w:eastAsia="Calibri"/>
                <w:sz w:val="24"/>
                <w:szCs w:val="24"/>
                <w:lang w:eastAsia="en-US"/>
              </w:rPr>
            </w:pPr>
            <w:r>
              <w:rPr>
                <w:rFonts w:eastAsia="Calibri"/>
                <w:sz w:val="24"/>
                <w:szCs w:val="24"/>
                <w:lang w:eastAsia="en-US"/>
              </w:rPr>
              <w:t xml:space="preserve">3.8.2 The proposed duration of the Call-Off Contract to conduct </w:t>
            </w:r>
            <w:proofErr w:type="gramStart"/>
            <w:r>
              <w:rPr>
                <w:rFonts w:eastAsia="Calibri"/>
                <w:sz w:val="24"/>
                <w:szCs w:val="24"/>
                <w:lang w:eastAsia="en-US"/>
              </w:rPr>
              <w:t>all of</w:t>
            </w:r>
            <w:proofErr w:type="gramEnd"/>
            <w:r>
              <w:rPr>
                <w:rFonts w:eastAsia="Calibri"/>
                <w:sz w:val="24"/>
                <w:szCs w:val="24"/>
                <w:lang w:eastAsia="en-US"/>
              </w:rPr>
              <w:t xml:space="preserve"> the work and to deliver the outcome products is 2 years.</w:t>
            </w:r>
          </w:p>
          <w:p w14:paraId="4ED50982" w14:textId="77777777" w:rsidR="004D5C8B" w:rsidRDefault="004D5C8B">
            <w:pPr>
              <w:rPr>
                <w:rFonts w:eastAsia="Calibri"/>
                <w:sz w:val="24"/>
                <w:szCs w:val="24"/>
                <w:lang w:eastAsia="en-US"/>
              </w:rPr>
            </w:pPr>
          </w:p>
          <w:p w14:paraId="4ED50983" w14:textId="77777777" w:rsidR="004D5C8B" w:rsidRDefault="006D44E7">
            <w:r>
              <w:rPr>
                <w:rFonts w:eastAsia="Calibri"/>
                <w:sz w:val="24"/>
                <w:szCs w:val="24"/>
                <w:lang w:eastAsia="en-US"/>
              </w:rPr>
              <w:t>3.8.3 The proposed end date for the Call-Off contract will therefore be 19</w:t>
            </w:r>
            <w:r>
              <w:rPr>
                <w:rFonts w:eastAsia="Calibri"/>
                <w:sz w:val="24"/>
                <w:szCs w:val="24"/>
                <w:vertAlign w:val="superscript"/>
                <w:lang w:eastAsia="en-US"/>
              </w:rPr>
              <w:t>th</w:t>
            </w:r>
            <w:r>
              <w:rPr>
                <w:rFonts w:eastAsia="Calibri"/>
                <w:sz w:val="24"/>
                <w:szCs w:val="24"/>
                <w:lang w:eastAsia="en-US"/>
              </w:rPr>
              <w:t xml:space="preserve"> February 2025.</w:t>
            </w:r>
          </w:p>
          <w:p w14:paraId="4ED50984" w14:textId="77777777" w:rsidR="004D5C8B" w:rsidRDefault="004D5C8B">
            <w:pPr>
              <w:rPr>
                <w:rFonts w:eastAsia="Calibri"/>
                <w:color w:val="FF0000"/>
                <w:sz w:val="24"/>
                <w:szCs w:val="24"/>
                <w:lang w:eastAsia="en-US"/>
              </w:rPr>
            </w:pPr>
          </w:p>
          <w:p w14:paraId="4ED50985" w14:textId="77777777" w:rsidR="004D5C8B" w:rsidRDefault="006D44E7">
            <w:pPr>
              <w:rPr>
                <w:b/>
                <w:sz w:val="24"/>
                <w:szCs w:val="24"/>
              </w:rPr>
            </w:pPr>
            <w:r>
              <w:rPr>
                <w:b/>
                <w:sz w:val="24"/>
                <w:szCs w:val="24"/>
              </w:rPr>
              <w:t>3.9 Reporting</w:t>
            </w:r>
          </w:p>
          <w:p w14:paraId="4ED50986" w14:textId="77777777" w:rsidR="004D5C8B" w:rsidRDefault="004D5C8B">
            <w:pPr>
              <w:rPr>
                <w:b/>
                <w:sz w:val="24"/>
                <w:szCs w:val="24"/>
              </w:rPr>
            </w:pPr>
          </w:p>
          <w:p w14:paraId="4ED50987" w14:textId="77777777" w:rsidR="004D5C8B" w:rsidRDefault="006D44E7">
            <w:pPr>
              <w:rPr>
                <w:bCs/>
                <w:sz w:val="24"/>
                <w:szCs w:val="24"/>
              </w:rPr>
            </w:pPr>
            <w:r>
              <w:rPr>
                <w:bCs/>
                <w:sz w:val="24"/>
                <w:szCs w:val="24"/>
              </w:rPr>
              <w:t>3.9.1 The Supplier shall attend Monthly Performance Review Meetings.</w:t>
            </w:r>
          </w:p>
          <w:p w14:paraId="4ED50988" w14:textId="77777777" w:rsidR="004D5C8B" w:rsidRDefault="004D5C8B">
            <w:pPr>
              <w:rPr>
                <w:bCs/>
                <w:sz w:val="24"/>
                <w:szCs w:val="24"/>
              </w:rPr>
            </w:pPr>
          </w:p>
          <w:p w14:paraId="4ED50989" w14:textId="77777777" w:rsidR="004D5C8B" w:rsidRDefault="006D44E7">
            <w:pPr>
              <w:rPr>
                <w:bCs/>
                <w:sz w:val="24"/>
                <w:szCs w:val="24"/>
              </w:rPr>
            </w:pPr>
            <w:r>
              <w:rPr>
                <w:bCs/>
                <w:sz w:val="24"/>
                <w:szCs w:val="24"/>
              </w:rPr>
              <w:t xml:space="preserve">3.9.2 The Authority reserves the right to incorporate the reporting methods proposed by the Supplier in response to the ITT scenario. </w:t>
            </w:r>
          </w:p>
          <w:p w14:paraId="4ED5098A" w14:textId="77777777" w:rsidR="004D5C8B" w:rsidRDefault="004D5C8B">
            <w:pPr>
              <w:rPr>
                <w:b/>
                <w:sz w:val="24"/>
                <w:szCs w:val="24"/>
              </w:rPr>
            </w:pPr>
          </w:p>
          <w:p w14:paraId="4ED5098B" w14:textId="77777777" w:rsidR="004D5C8B" w:rsidRDefault="006D44E7">
            <w:pPr>
              <w:rPr>
                <w:b/>
                <w:sz w:val="24"/>
                <w:szCs w:val="24"/>
              </w:rPr>
            </w:pPr>
            <w:r>
              <w:rPr>
                <w:b/>
                <w:sz w:val="24"/>
                <w:szCs w:val="24"/>
              </w:rPr>
              <w:t>3.10 Continuous Improvement</w:t>
            </w:r>
          </w:p>
          <w:p w14:paraId="4ED5098C" w14:textId="77777777" w:rsidR="004D5C8B" w:rsidRDefault="004D5C8B">
            <w:pPr>
              <w:rPr>
                <w:b/>
                <w:sz w:val="24"/>
                <w:szCs w:val="24"/>
              </w:rPr>
            </w:pPr>
          </w:p>
          <w:p w14:paraId="4ED5098D" w14:textId="77777777" w:rsidR="004D5C8B" w:rsidRDefault="006D44E7">
            <w:pPr>
              <w:rPr>
                <w:sz w:val="24"/>
                <w:szCs w:val="24"/>
              </w:rPr>
            </w:pPr>
            <w:r>
              <w:rPr>
                <w:sz w:val="24"/>
                <w:szCs w:val="24"/>
              </w:rPr>
              <w:t>3.10.1 In order to extract the greatest benefit for HMRC and ensure no duplication of work, there will be clear terms within the contract for the delivery.</w:t>
            </w:r>
          </w:p>
          <w:p w14:paraId="4ED5098E" w14:textId="77777777" w:rsidR="004D5C8B" w:rsidRDefault="004D5C8B">
            <w:pPr>
              <w:rPr>
                <w:sz w:val="24"/>
                <w:szCs w:val="24"/>
              </w:rPr>
            </w:pPr>
          </w:p>
          <w:p w14:paraId="4ED5098F" w14:textId="77777777" w:rsidR="004D5C8B" w:rsidRDefault="006D44E7">
            <w:pPr>
              <w:rPr>
                <w:sz w:val="24"/>
                <w:szCs w:val="24"/>
              </w:rPr>
            </w:pPr>
            <w:r>
              <w:rPr>
                <w:sz w:val="24"/>
                <w:szCs w:val="24"/>
              </w:rPr>
              <w:t>3.10.2 The Supplier will be expected to continually improve the way in which the required Services are to be delivered throughout the Contract duration.</w:t>
            </w:r>
          </w:p>
          <w:p w14:paraId="4ED50990" w14:textId="77777777" w:rsidR="004D5C8B" w:rsidRDefault="004D5C8B">
            <w:pPr>
              <w:rPr>
                <w:sz w:val="24"/>
                <w:szCs w:val="24"/>
              </w:rPr>
            </w:pPr>
          </w:p>
          <w:p w14:paraId="4ED50991" w14:textId="77777777" w:rsidR="004D5C8B" w:rsidRDefault="006D44E7">
            <w:pPr>
              <w:rPr>
                <w:sz w:val="24"/>
                <w:szCs w:val="24"/>
              </w:rPr>
            </w:pPr>
            <w:r>
              <w:rPr>
                <w:sz w:val="24"/>
                <w:szCs w:val="24"/>
              </w:rPr>
              <w:t xml:space="preserve">3.10.3 The Supplier should present new ways of working to the Authority during monthly Contract review meetings. </w:t>
            </w:r>
          </w:p>
          <w:p w14:paraId="4ED50992" w14:textId="77777777" w:rsidR="004D5C8B" w:rsidRDefault="004D5C8B">
            <w:pPr>
              <w:rPr>
                <w:sz w:val="24"/>
                <w:szCs w:val="24"/>
              </w:rPr>
            </w:pPr>
          </w:p>
          <w:p w14:paraId="4ED50993" w14:textId="77777777" w:rsidR="004D5C8B" w:rsidRDefault="006D44E7">
            <w:pPr>
              <w:rPr>
                <w:sz w:val="24"/>
                <w:szCs w:val="24"/>
              </w:rPr>
            </w:pPr>
            <w:r>
              <w:rPr>
                <w:sz w:val="24"/>
                <w:szCs w:val="24"/>
              </w:rPr>
              <w:t>3.10.4 Changes to the way in which the Services are to be delivered must be brought to the Authority’s attention and agreed prior to any changes being implemented.</w:t>
            </w:r>
          </w:p>
          <w:p w14:paraId="4ED50994" w14:textId="77777777" w:rsidR="004D5C8B" w:rsidRDefault="004D5C8B">
            <w:pPr>
              <w:rPr>
                <w:b/>
                <w:sz w:val="24"/>
                <w:szCs w:val="24"/>
                <w:shd w:val="clear" w:color="auto" w:fill="FFFF00"/>
              </w:rPr>
            </w:pPr>
          </w:p>
          <w:p w14:paraId="4ED50995" w14:textId="77777777" w:rsidR="004D5C8B" w:rsidRDefault="006D44E7">
            <w:pPr>
              <w:pStyle w:val="Heading1"/>
              <w:overflowPunct w:val="0"/>
              <w:autoSpaceDE w:val="0"/>
              <w:ind w:left="720" w:hanging="720"/>
              <w:jc w:val="both"/>
              <w:rPr>
                <w:b/>
                <w:bCs/>
                <w:sz w:val="24"/>
                <w:szCs w:val="24"/>
              </w:rPr>
            </w:pPr>
            <w:bookmarkStart w:id="2" w:name="_Toc368573038"/>
            <w:bookmarkStart w:id="3" w:name="_Toc483226225"/>
            <w:r>
              <w:rPr>
                <w:b/>
                <w:bCs/>
                <w:sz w:val="24"/>
                <w:szCs w:val="24"/>
              </w:rPr>
              <w:t>3.11 S</w:t>
            </w:r>
            <w:bookmarkEnd w:id="2"/>
            <w:bookmarkEnd w:id="3"/>
            <w:r>
              <w:rPr>
                <w:b/>
                <w:bCs/>
                <w:sz w:val="24"/>
                <w:szCs w:val="24"/>
              </w:rPr>
              <w:t>taff and Customer Service</w:t>
            </w:r>
          </w:p>
          <w:p w14:paraId="4ED50996" w14:textId="77777777" w:rsidR="004D5C8B" w:rsidRDefault="004D5C8B">
            <w:pPr>
              <w:rPr>
                <w:sz w:val="24"/>
                <w:szCs w:val="24"/>
                <w:lang w:eastAsia="en-US"/>
              </w:rPr>
            </w:pPr>
          </w:p>
          <w:p w14:paraId="4ED50997" w14:textId="77777777" w:rsidR="004D5C8B" w:rsidRDefault="006D44E7">
            <w:pPr>
              <w:pStyle w:val="Heading2"/>
              <w:keepNext w:val="0"/>
              <w:rPr>
                <w:b w:val="0"/>
                <w:sz w:val="24"/>
                <w:szCs w:val="24"/>
              </w:rPr>
            </w:pPr>
            <w:r>
              <w:rPr>
                <w:b w:val="0"/>
                <w:sz w:val="24"/>
                <w:szCs w:val="24"/>
              </w:rPr>
              <w:t xml:space="preserve">3.11.1 Potential Provider’s staff assigned to the Contract shall have the relevant qualifications and experience to deliver the Contract. </w:t>
            </w:r>
          </w:p>
          <w:p w14:paraId="4ED50998" w14:textId="77777777" w:rsidR="004D5C8B" w:rsidRDefault="004D5C8B">
            <w:pPr>
              <w:rPr>
                <w:sz w:val="24"/>
                <w:szCs w:val="24"/>
                <w:lang w:eastAsia="en-US"/>
              </w:rPr>
            </w:pPr>
          </w:p>
          <w:p w14:paraId="4ED50999" w14:textId="77777777" w:rsidR="004D5C8B" w:rsidRDefault="006D44E7">
            <w:pPr>
              <w:pStyle w:val="Heading2"/>
              <w:keepNext w:val="0"/>
              <w:jc w:val="both"/>
              <w:rPr>
                <w:b w:val="0"/>
                <w:sz w:val="24"/>
                <w:szCs w:val="24"/>
              </w:rPr>
            </w:pPr>
            <w:r>
              <w:rPr>
                <w:b w:val="0"/>
                <w:sz w:val="24"/>
                <w:szCs w:val="24"/>
              </w:rPr>
              <w:t xml:space="preserve">3.11.2 The qualifications and experience should be clearly identified within the </w:t>
            </w:r>
            <w:proofErr w:type="gramStart"/>
            <w:r>
              <w:rPr>
                <w:b w:val="0"/>
                <w:sz w:val="24"/>
                <w:szCs w:val="24"/>
              </w:rPr>
              <w:t>CV’s</w:t>
            </w:r>
            <w:proofErr w:type="gramEnd"/>
            <w:r>
              <w:rPr>
                <w:b w:val="0"/>
                <w:sz w:val="24"/>
                <w:szCs w:val="24"/>
              </w:rPr>
              <w:t xml:space="preserve"> of the proposed staff.</w:t>
            </w:r>
          </w:p>
          <w:p w14:paraId="4ED5099A" w14:textId="77777777" w:rsidR="004D5C8B" w:rsidRDefault="004D5C8B">
            <w:pPr>
              <w:rPr>
                <w:b/>
                <w:sz w:val="24"/>
                <w:szCs w:val="24"/>
                <w:shd w:val="clear" w:color="auto" w:fill="FFFF00"/>
              </w:rPr>
            </w:pPr>
          </w:p>
          <w:p w14:paraId="4ED5099B" w14:textId="77777777" w:rsidR="004D5C8B" w:rsidRDefault="006D44E7">
            <w:pPr>
              <w:rPr>
                <w:b/>
                <w:sz w:val="24"/>
                <w:szCs w:val="24"/>
              </w:rPr>
            </w:pPr>
            <w:r>
              <w:rPr>
                <w:b/>
                <w:sz w:val="24"/>
                <w:szCs w:val="24"/>
              </w:rPr>
              <w:t>3.12 Security</w:t>
            </w:r>
          </w:p>
          <w:p w14:paraId="4ED5099C" w14:textId="77777777" w:rsidR="004D5C8B" w:rsidRDefault="004D5C8B">
            <w:pPr>
              <w:rPr>
                <w:b/>
                <w:sz w:val="24"/>
                <w:szCs w:val="24"/>
              </w:rPr>
            </w:pPr>
          </w:p>
          <w:p w14:paraId="4ED5099D" w14:textId="77777777" w:rsidR="004D5C8B" w:rsidRDefault="006D44E7">
            <w:r>
              <w:rPr>
                <w:sz w:val="24"/>
                <w:szCs w:val="24"/>
              </w:rPr>
              <w:t xml:space="preserve">3.12.1 In the delivery of the service, the Service Provider must ensure that the standards, best practice guidelines and approaches that are required to protect UK government assets contained in the </w:t>
            </w:r>
            <w:hyperlink r:id="rId7" w:history="1">
              <w:r>
                <w:rPr>
                  <w:rStyle w:val="Hyperlink"/>
                  <w:sz w:val="24"/>
                  <w:szCs w:val="24"/>
                </w:rPr>
                <w:t>Security Policy Framework</w:t>
              </w:r>
            </w:hyperlink>
            <w:r>
              <w:rPr>
                <w:sz w:val="24"/>
                <w:szCs w:val="24"/>
              </w:rPr>
              <w:t xml:space="preserve"> are adhered to. </w:t>
            </w:r>
          </w:p>
          <w:p w14:paraId="4ED5099E" w14:textId="77777777" w:rsidR="004D5C8B" w:rsidRDefault="004D5C8B">
            <w:pPr>
              <w:rPr>
                <w:sz w:val="24"/>
                <w:szCs w:val="24"/>
              </w:rPr>
            </w:pPr>
          </w:p>
          <w:p w14:paraId="4ED5099F" w14:textId="77777777" w:rsidR="004D5C8B" w:rsidRDefault="006D44E7">
            <w:pPr>
              <w:rPr>
                <w:sz w:val="24"/>
                <w:szCs w:val="24"/>
              </w:rPr>
            </w:pPr>
            <w:r>
              <w:rPr>
                <w:sz w:val="24"/>
                <w:szCs w:val="24"/>
              </w:rPr>
              <w:t>3.12.2 All resources provided by the Supplier need, as a minimum, Baseline Personnel Security Standard Clearance (BPSS).</w:t>
            </w:r>
          </w:p>
          <w:p w14:paraId="4ED509A0" w14:textId="77777777" w:rsidR="004D5C8B" w:rsidRDefault="004D5C8B">
            <w:pPr>
              <w:rPr>
                <w:sz w:val="24"/>
                <w:szCs w:val="24"/>
              </w:rPr>
            </w:pPr>
          </w:p>
          <w:p w14:paraId="4ED509A1" w14:textId="77777777" w:rsidR="004D5C8B" w:rsidRDefault="006D44E7">
            <w:pPr>
              <w:rPr>
                <w:sz w:val="24"/>
                <w:szCs w:val="24"/>
              </w:rPr>
            </w:pPr>
            <w:r>
              <w:rPr>
                <w:sz w:val="24"/>
                <w:szCs w:val="24"/>
              </w:rPr>
              <w:t>3.12.3 The Supplier’s response to the Security Questionnaire, with any subsequent amendments as may be agreed as part of a clarification process, will be included in the signed version of any resulting agreement, as confirmation that the content of the Security Plan has been agreed with HMRC.</w:t>
            </w:r>
          </w:p>
          <w:p w14:paraId="4ED509A2" w14:textId="77777777" w:rsidR="004D5C8B" w:rsidRDefault="006D44E7">
            <w:pPr>
              <w:pStyle w:val="Heading1"/>
              <w:ind w:left="720" w:hanging="720"/>
              <w:jc w:val="both"/>
              <w:rPr>
                <w:b/>
                <w:bCs/>
                <w:sz w:val="24"/>
                <w:szCs w:val="24"/>
              </w:rPr>
            </w:pPr>
            <w:bookmarkStart w:id="4" w:name="_Toc368573043"/>
            <w:bookmarkStart w:id="5" w:name="_Toc483226229"/>
            <w:r>
              <w:rPr>
                <w:b/>
                <w:bCs/>
                <w:sz w:val="24"/>
                <w:szCs w:val="24"/>
              </w:rPr>
              <w:t>3.13 Base Location</w:t>
            </w:r>
            <w:bookmarkEnd w:id="4"/>
            <w:bookmarkEnd w:id="5"/>
            <w:r>
              <w:rPr>
                <w:b/>
                <w:bCs/>
                <w:sz w:val="24"/>
                <w:szCs w:val="24"/>
              </w:rPr>
              <w:t xml:space="preserve"> </w:t>
            </w:r>
          </w:p>
          <w:p w14:paraId="4ED509A3" w14:textId="77777777" w:rsidR="004D5C8B" w:rsidRDefault="004D5C8B">
            <w:pPr>
              <w:rPr>
                <w:sz w:val="24"/>
                <w:szCs w:val="24"/>
                <w:lang w:eastAsia="en-US"/>
              </w:rPr>
            </w:pPr>
          </w:p>
          <w:p w14:paraId="4ED509A4" w14:textId="77777777" w:rsidR="004D5C8B" w:rsidRDefault="006D44E7">
            <w:pPr>
              <w:pStyle w:val="Heading2"/>
              <w:keepNext w:val="0"/>
              <w:jc w:val="both"/>
              <w:rPr>
                <w:b w:val="0"/>
                <w:sz w:val="24"/>
                <w:szCs w:val="24"/>
              </w:rPr>
            </w:pPr>
            <w:r>
              <w:rPr>
                <w:b w:val="0"/>
                <w:sz w:val="24"/>
                <w:szCs w:val="24"/>
              </w:rPr>
              <w:t>3.13.1 The base location of where the Services will be carried out will be at the Supplier’s offices or where specified on each Statement of Works under this Call-Off Agreement.</w:t>
            </w:r>
          </w:p>
          <w:p w14:paraId="4ED509A5" w14:textId="77777777" w:rsidR="004D5C8B" w:rsidRDefault="004D5C8B">
            <w:pPr>
              <w:rPr>
                <w:b/>
                <w:sz w:val="24"/>
                <w:szCs w:val="24"/>
              </w:rPr>
            </w:pPr>
          </w:p>
          <w:p w14:paraId="4ED509A6" w14:textId="77777777" w:rsidR="004D5C8B" w:rsidRDefault="006D44E7">
            <w:pPr>
              <w:pStyle w:val="Heading2"/>
              <w:keepNext w:val="0"/>
              <w:tabs>
                <w:tab w:val="left" w:pos="1392"/>
              </w:tabs>
              <w:ind w:right="150"/>
              <w:jc w:val="both"/>
              <w:rPr>
                <w:b w:val="0"/>
                <w:sz w:val="24"/>
                <w:szCs w:val="24"/>
              </w:rPr>
            </w:pPr>
            <w:r>
              <w:rPr>
                <w:b w:val="0"/>
                <w:sz w:val="24"/>
                <w:szCs w:val="24"/>
              </w:rPr>
              <w:t>3.13.2 To support changes in Government guidance, all potential Supplier staff assigned to the Contract shall be fully equipped to ensure that they can effectively work from home.</w:t>
            </w:r>
          </w:p>
          <w:p w14:paraId="4ED509A7" w14:textId="77777777" w:rsidR="004D5C8B" w:rsidRDefault="004D5C8B">
            <w:pPr>
              <w:pStyle w:val="ListParagraph"/>
              <w:rPr>
                <w:rFonts w:cs="Arial"/>
                <w:sz w:val="24"/>
                <w:szCs w:val="24"/>
              </w:rPr>
            </w:pPr>
          </w:p>
        </w:tc>
      </w:tr>
      <w:tr w:rsidR="004D5C8B" w14:paraId="4ED509AA" w14:textId="77777777">
        <w:tc>
          <w:tcPr>
            <w:tcW w:w="9493" w:type="dxa"/>
            <w:gridSpan w:val="3"/>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4ED509A9" w14:textId="77777777" w:rsidR="004D5C8B" w:rsidRDefault="006D44E7">
            <w:r>
              <w:rPr>
                <w:b/>
                <w:sz w:val="24"/>
                <w:szCs w:val="24"/>
              </w:rPr>
              <w:lastRenderedPageBreak/>
              <w:t xml:space="preserve">4. </w:t>
            </w:r>
            <w:r>
              <w:rPr>
                <w:b/>
                <w:sz w:val="24"/>
                <w:szCs w:val="24"/>
              </w:rPr>
              <w:tab/>
              <w:t>Charging Schedule</w:t>
            </w:r>
          </w:p>
        </w:tc>
      </w:tr>
      <w:tr w:rsidR="004D5C8B" w14:paraId="4ED509D0" w14:textId="77777777">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9AB" w14:textId="77777777" w:rsidR="004D5C8B" w:rsidRDefault="004D5C8B">
            <w:pPr>
              <w:rPr>
                <w:b/>
                <w:sz w:val="24"/>
                <w:szCs w:val="24"/>
              </w:rPr>
            </w:pPr>
          </w:p>
          <w:p w14:paraId="4ED509AC" w14:textId="77777777" w:rsidR="004D5C8B" w:rsidRDefault="006D44E7">
            <w:pPr>
              <w:rPr>
                <w:b/>
                <w:sz w:val="24"/>
                <w:szCs w:val="24"/>
              </w:rPr>
            </w:pPr>
            <w:r>
              <w:rPr>
                <w:b/>
                <w:sz w:val="24"/>
                <w:szCs w:val="24"/>
              </w:rPr>
              <w:t>4.1 Pricing Structure</w:t>
            </w:r>
          </w:p>
          <w:p w14:paraId="4ED509AD" w14:textId="77777777" w:rsidR="004D5C8B" w:rsidRDefault="004D5C8B">
            <w:pPr>
              <w:pStyle w:val="ListParagraph"/>
              <w:ind w:left="0"/>
              <w:rPr>
                <w:rFonts w:cs="Arial"/>
                <w:sz w:val="24"/>
                <w:szCs w:val="24"/>
              </w:rPr>
            </w:pPr>
          </w:p>
          <w:p w14:paraId="4ED509AE" w14:textId="77777777" w:rsidR="004D5C8B" w:rsidRDefault="006D44E7">
            <w:pPr>
              <w:pStyle w:val="ListParagraph"/>
              <w:ind w:left="0"/>
              <w:rPr>
                <w:rFonts w:cs="Arial"/>
                <w:sz w:val="24"/>
                <w:szCs w:val="24"/>
              </w:rPr>
            </w:pPr>
            <w:r>
              <w:rPr>
                <w:rFonts w:cs="Arial"/>
                <w:sz w:val="24"/>
                <w:szCs w:val="24"/>
              </w:rPr>
              <w:t xml:space="preserve">4.1.1 The Pricing Structure will be determined in the SoWs for each assignment. </w:t>
            </w:r>
          </w:p>
          <w:p w14:paraId="4ED509AF" w14:textId="77777777" w:rsidR="004D5C8B" w:rsidRDefault="004D5C8B">
            <w:pPr>
              <w:pStyle w:val="ListParagraph"/>
              <w:ind w:left="0"/>
              <w:rPr>
                <w:rFonts w:cs="Arial"/>
                <w:sz w:val="24"/>
                <w:szCs w:val="24"/>
              </w:rPr>
            </w:pPr>
          </w:p>
          <w:p w14:paraId="4ED509B0" w14:textId="77777777" w:rsidR="004D5C8B" w:rsidRDefault="006D44E7">
            <w:pPr>
              <w:pStyle w:val="ListParagraph"/>
              <w:ind w:left="0"/>
              <w:rPr>
                <w:rFonts w:cs="Arial"/>
                <w:sz w:val="24"/>
                <w:szCs w:val="24"/>
              </w:rPr>
            </w:pPr>
            <w:r>
              <w:rPr>
                <w:rFonts w:cs="Arial"/>
                <w:sz w:val="24"/>
                <w:szCs w:val="24"/>
              </w:rPr>
              <w:t xml:space="preserve">4.1.2 In principle, the Pricing Structure should be fixed price with milestone payments, but where it is agreed in the SoW that weekly run rate or Time &amp; Material (T&amp;M) charging will apply, then the rates provided in the Rate Card as part of the Supplier’s ITT response will apply to the SoW where agreed.  </w:t>
            </w:r>
          </w:p>
          <w:p w14:paraId="4ED509B1" w14:textId="77777777" w:rsidR="004D5C8B" w:rsidRDefault="004D5C8B">
            <w:pPr>
              <w:pStyle w:val="ListParagraph"/>
              <w:ind w:left="0"/>
              <w:rPr>
                <w:rFonts w:cs="Arial"/>
                <w:sz w:val="24"/>
                <w:szCs w:val="24"/>
              </w:rPr>
            </w:pPr>
          </w:p>
          <w:p w14:paraId="4ED509B2" w14:textId="77777777" w:rsidR="004D5C8B" w:rsidRDefault="006D44E7">
            <w:pPr>
              <w:pStyle w:val="ListParagraph"/>
              <w:ind w:left="0"/>
              <w:rPr>
                <w:rFonts w:cs="Arial"/>
                <w:sz w:val="24"/>
                <w:szCs w:val="24"/>
              </w:rPr>
            </w:pPr>
            <w:r>
              <w:rPr>
                <w:rFonts w:cs="Arial"/>
                <w:sz w:val="24"/>
                <w:szCs w:val="24"/>
              </w:rPr>
              <w:t xml:space="preserve">4.1.3 The Rate Card is contained in the Excel spreadsheet Charging Schedule at Attachments section 1 in the SAP Ariba Event, which will be used to: </w:t>
            </w:r>
          </w:p>
          <w:p w14:paraId="4ED509B3" w14:textId="77777777" w:rsidR="004D5C8B" w:rsidRDefault="004D5C8B">
            <w:pPr>
              <w:pStyle w:val="ListParagraph"/>
              <w:ind w:left="0"/>
              <w:rPr>
                <w:rFonts w:cs="Arial"/>
                <w:sz w:val="24"/>
                <w:szCs w:val="24"/>
              </w:rPr>
            </w:pPr>
          </w:p>
          <w:p w14:paraId="4ED509B4" w14:textId="77777777" w:rsidR="004D5C8B" w:rsidRDefault="006D44E7">
            <w:pPr>
              <w:pStyle w:val="ListParagraph"/>
              <w:numPr>
                <w:ilvl w:val="0"/>
                <w:numId w:val="102"/>
              </w:numPr>
              <w:suppressAutoHyphens w:val="0"/>
              <w:ind w:left="284"/>
              <w:textAlignment w:val="auto"/>
              <w:rPr>
                <w:rFonts w:cs="Arial"/>
                <w:sz w:val="24"/>
                <w:szCs w:val="24"/>
              </w:rPr>
            </w:pPr>
            <w:r>
              <w:rPr>
                <w:rFonts w:cs="Arial"/>
                <w:sz w:val="24"/>
                <w:szCs w:val="24"/>
              </w:rPr>
              <w:t xml:space="preserve">Provide a comparison on the rates arrived at through the tender process for this work package compared against the standard MCF3 </w:t>
            </w:r>
            <w:proofErr w:type="gramStart"/>
            <w:r>
              <w:rPr>
                <w:rFonts w:cs="Arial"/>
                <w:sz w:val="24"/>
                <w:szCs w:val="24"/>
              </w:rPr>
              <w:t>rates;</w:t>
            </w:r>
            <w:proofErr w:type="gramEnd"/>
          </w:p>
          <w:p w14:paraId="4ED509B5" w14:textId="77777777" w:rsidR="004D5C8B" w:rsidRDefault="006D44E7">
            <w:pPr>
              <w:pStyle w:val="ListParagraph"/>
              <w:numPr>
                <w:ilvl w:val="0"/>
                <w:numId w:val="102"/>
              </w:numPr>
              <w:suppressAutoHyphens w:val="0"/>
              <w:ind w:left="284"/>
              <w:textAlignment w:val="auto"/>
              <w:rPr>
                <w:rFonts w:cs="Arial"/>
                <w:sz w:val="24"/>
                <w:szCs w:val="24"/>
              </w:rPr>
            </w:pPr>
            <w:r>
              <w:rPr>
                <w:rFonts w:cs="Arial"/>
                <w:sz w:val="24"/>
                <w:szCs w:val="24"/>
              </w:rPr>
              <w:t>Readily demonstrate how Value for Money (</w:t>
            </w:r>
            <w:proofErr w:type="spellStart"/>
            <w:r>
              <w:rPr>
                <w:rFonts w:cs="Arial"/>
                <w:sz w:val="24"/>
                <w:szCs w:val="24"/>
              </w:rPr>
              <w:t>VfM</w:t>
            </w:r>
            <w:proofErr w:type="spellEnd"/>
            <w:r>
              <w:rPr>
                <w:rFonts w:cs="Arial"/>
                <w:sz w:val="24"/>
                <w:szCs w:val="24"/>
              </w:rPr>
              <w:t xml:space="preserve">) is being achieved </w:t>
            </w:r>
            <w:proofErr w:type="gramStart"/>
            <w:r>
              <w:rPr>
                <w:rFonts w:cs="Arial"/>
                <w:sz w:val="24"/>
                <w:szCs w:val="24"/>
              </w:rPr>
              <w:t>through the use of</w:t>
            </w:r>
            <w:proofErr w:type="gramEnd"/>
            <w:r>
              <w:rPr>
                <w:rFonts w:cs="Arial"/>
                <w:sz w:val="24"/>
                <w:szCs w:val="24"/>
              </w:rPr>
              <w:t xml:space="preserve"> the framework/framework discounted rate card; and</w:t>
            </w:r>
          </w:p>
          <w:p w14:paraId="4ED509B6" w14:textId="77777777" w:rsidR="004D5C8B" w:rsidRDefault="006D44E7">
            <w:pPr>
              <w:pStyle w:val="ListParagraph"/>
              <w:numPr>
                <w:ilvl w:val="0"/>
                <w:numId w:val="102"/>
              </w:numPr>
              <w:suppressAutoHyphens w:val="0"/>
              <w:ind w:left="284"/>
              <w:textAlignment w:val="auto"/>
              <w:rPr>
                <w:rFonts w:cs="Arial"/>
                <w:sz w:val="24"/>
                <w:szCs w:val="24"/>
              </w:rPr>
            </w:pPr>
            <w:r>
              <w:rPr>
                <w:rFonts w:cs="Arial"/>
                <w:sz w:val="24"/>
                <w:szCs w:val="24"/>
              </w:rPr>
              <w:t xml:space="preserve">Provide the pricing basis for determining the potential costs of future work packages commissioned through this contract, where </w:t>
            </w:r>
            <w:proofErr w:type="spellStart"/>
            <w:r>
              <w:rPr>
                <w:rFonts w:cs="Arial"/>
                <w:sz w:val="24"/>
                <w:szCs w:val="24"/>
              </w:rPr>
              <w:t>VfM</w:t>
            </w:r>
            <w:proofErr w:type="spellEnd"/>
            <w:r>
              <w:rPr>
                <w:rFonts w:cs="Arial"/>
                <w:sz w:val="24"/>
                <w:szCs w:val="24"/>
              </w:rPr>
              <w:t xml:space="preserve"> can clearly be demonstrated.  </w:t>
            </w:r>
          </w:p>
          <w:p w14:paraId="4ED509B7" w14:textId="77777777" w:rsidR="004D5C8B" w:rsidRDefault="004D5C8B">
            <w:pPr>
              <w:tabs>
                <w:tab w:val="left" w:pos="709"/>
              </w:tabs>
              <w:rPr>
                <w:sz w:val="24"/>
                <w:szCs w:val="24"/>
              </w:rPr>
            </w:pPr>
          </w:p>
          <w:p w14:paraId="4ED509B8" w14:textId="77777777" w:rsidR="004D5C8B" w:rsidRDefault="006D44E7">
            <w:pPr>
              <w:rPr>
                <w:rFonts w:eastAsia="Calibri"/>
                <w:sz w:val="24"/>
                <w:szCs w:val="24"/>
                <w:lang w:eastAsia="en-US"/>
              </w:rPr>
            </w:pPr>
            <w:r>
              <w:rPr>
                <w:rFonts w:eastAsia="Calibri"/>
                <w:sz w:val="24"/>
                <w:szCs w:val="24"/>
                <w:lang w:eastAsia="en-US"/>
              </w:rPr>
              <w:t>4.1.4 Both tabs in the Charging Schedule must be completed, this includes:</w:t>
            </w:r>
          </w:p>
          <w:p w14:paraId="4ED509B9" w14:textId="77777777" w:rsidR="004D5C8B" w:rsidRDefault="006D44E7">
            <w:pPr>
              <w:pStyle w:val="ListParagraph"/>
              <w:numPr>
                <w:ilvl w:val="0"/>
                <w:numId w:val="103"/>
              </w:numPr>
              <w:suppressAutoHyphens w:val="0"/>
              <w:ind w:left="607"/>
              <w:textAlignment w:val="auto"/>
              <w:rPr>
                <w:rFonts w:eastAsia="Calibri" w:cs="Arial"/>
                <w:sz w:val="24"/>
                <w:szCs w:val="24"/>
                <w:lang w:eastAsia="en-US"/>
              </w:rPr>
            </w:pPr>
            <w:r>
              <w:rPr>
                <w:rFonts w:eastAsia="Calibri" w:cs="Arial"/>
                <w:sz w:val="24"/>
                <w:szCs w:val="24"/>
                <w:lang w:eastAsia="en-US"/>
              </w:rPr>
              <w:t>Rate Card</w:t>
            </w:r>
          </w:p>
          <w:p w14:paraId="4ED509BA" w14:textId="77777777" w:rsidR="004D5C8B" w:rsidRDefault="006D44E7">
            <w:pPr>
              <w:pStyle w:val="ListParagraph"/>
              <w:numPr>
                <w:ilvl w:val="0"/>
                <w:numId w:val="103"/>
              </w:numPr>
              <w:suppressAutoHyphens w:val="0"/>
              <w:ind w:left="607"/>
              <w:textAlignment w:val="auto"/>
            </w:pPr>
            <w:r>
              <w:rPr>
                <w:rFonts w:eastAsia="Calibri" w:cs="Arial"/>
                <w:sz w:val="24"/>
                <w:szCs w:val="24"/>
                <w:lang w:eastAsia="en-US"/>
              </w:rPr>
              <w:t>Proposal to Scenario Price</w:t>
            </w:r>
          </w:p>
          <w:p w14:paraId="4ED509BB" w14:textId="77777777" w:rsidR="004D5C8B" w:rsidRDefault="004D5C8B">
            <w:pPr>
              <w:rPr>
                <w:b/>
                <w:sz w:val="24"/>
                <w:szCs w:val="24"/>
              </w:rPr>
            </w:pPr>
          </w:p>
          <w:p w14:paraId="4ED509BC" w14:textId="77777777" w:rsidR="004D5C8B" w:rsidRDefault="006D44E7">
            <w:pPr>
              <w:rPr>
                <w:b/>
                <w:sz w:val="24"/>
                <w:szCs w:val="24"/>
              </w:rPr>
            </w:pPr>
            <w:r>
              <w:rPr>
                <w:b/>
                <w:sz w:val="24"/>
                <w:szCs w:val="24"/>
              </w:rPr>
              <w:t>4.2 Invoicing</w:t>
            </w:r>
          </w:p>
          <w:p w14:paraId="4ED509BD" w14:textId="77777777" w:rsidR="004D5C8B" w:rsidRDefault="004D5C8B">
            <w:pPr>
              <w:rPr>
                <w:sz w:val="24"/>
                <w:szCs w:val="24"/>
              </w:rPr>
            </w:pPr>
          </w:p>
          <w:p w14:paraId="4ED509BE" w14:textId="77777777" w:rsidR="004D5C8B" w:rsidRDefault="006D44E7">
            <w:pPr>
              <w:rPr>
                <w:sz w:val="24"/>
                <w:szCs w:val="24"/>
              </w:rPr>
            </w:pPr>
            <w:r>
              <w:rPr>
                <w:sz w:val="24"/>
                <w:szCs w:val="24"/>
              </w:rPr>
              <w:t xml:space="preserve">4.2.1 Invoicing will be conducted via HMRC’s </w:t>
            </w:r>
            <w:proofErr w:type="spellStart"/>
            <w:r>
              <w:rPr>
                <w:sz w:val="24"/>
                <w:szCs w:val="24"/>
              </w:rPr>
              <w:t>eTrading</w:t>
            </w:r>
            <w:proofErr w:type="spellEnd"/>
            <w:r>
              <w:rPr>
                <w:sz w:val="24"/>
                <w:szCs w:val="24"/>
              </w:rPr>
              <w:t xml:space="preserve"> system provided by SAP Ariba (further information can be found in the HMRC Tendering Instructions document).</w:t>
            </w:r>
          </w:p>
          <w:p w14:paraId="4ED509BF" w14:textId="77777777" w:rsidR="004D5C8B" w:rsidRDefault="004D5C8B">
            <w:pPr>
              <w:rPr>
                <w:sz w:val="24"/>
                <w:szCs w:val="24"/>
              </w:rPr>
            </w:pPr>
          </w:p>
          <w:p w14:paraId="4ED509C0" w14:textId="77777777" w:rsidR="004D5C8B" w:rsidRDefault="006D44E7">
            <w:pPr>
              <w:rPr>
                <w:sz w:val="24"/>
                <w:szCs w:val="24"/>
              </w:rPr>
            </w:pPr>
            <w:r>
              <w:rPr>
                <w:sz w:val="24"/>
                <w:szCs w:val="24"/>
              </w:rPr>
              <w:lastRenderedPageBreak/>
              <w:t xml:space="preserve">4.2.2 Prior to invoicing, acceptance approval must be sought from the HMRC Work Manager that the milestone has been completed. </w:t>
            </w:r>
          </w:p>
          <w:p w14:paraId="4ED509C1" w14:textId="77777777" w:rsidR="004D5C8B" w:rsidRDefault="004D5C8B">
            <w:pPr>
              <w:rPr>
                <w:sz w:val="24"/>
                <w:szCs w:val="24"/>
              </w:rPr>
            </w:pPr>
          </w:p>
          <w:p w14:paraId="4ED509C2" w14:textId="77777777" w:rsidR="004D5C8B" w:rsidRDefault="006D44E7">
            <w:pPr>
              <w:rPr>
                <w:sz w:val="24"/>
                <w:szCs w:val="24"/>
              </w:rPr>
            </w:pPr>
            <w:r>
              <w:rPr>
                <w:sz w:val="24"/>
                <w:szCs w:val="24"/>
              </w:rPr>
              <w:t xml:space="preserve">4.2.3 HMRC will provide a list of individuals authorised to agree completion of SoWs and Key Milestones under this agreement, along with a named Escalation Contact. </w:t>
            </w:r>
          </w:p>
          <w:p w14:paraId="4ED509C3" w14:textId="77777777" w:rsidR="004D5C8B" w:rsidRDefault="004D5C8B">
            <w:pPr>
              <w:rPr>
                <w:sz w:val="24"/>
                <w:szCs w:val="24"/>
              </w:rPr>
            </w:pPr>
          </w:p>
          <w:p w14:paraId="4ED509C4" w14:textId="77777777" w:rsidR="004D5C8B" w:rsidRDefault="006D44E7">
            <w:pPr>
              <w:rPr>
                <w:sz w:val="24"/>
                <w:szCs w:val="24"/>
              </w:rPr>
            </w:pPr>
            <w:r>
              <w:rPr>
                <w:sz w:val="24"/>
                <w:szCs w:val="24"/>
              </w:rPr>
              <w:t xml:space="preserve">4.2.4 The supplier agrees that they will only bill for work conducted in line with approved SoWs and will inform the Escalation Contact of any request made for them to deliver work outside of a </w:t>
            </w:r>
            <w:proofErr w:type="spellStart"/>
            <w:r>
              <w:rPr>
                <w:sz w:val="24"/>
                <w:szCs w:val="24"/>
              </w:rPr>
              <w:t>SoW.</w:t>
            </w:r>
            <w:proofErr w:type="spellEnd"/>
          </w:p>
          <w:p w14:paraId="4ED509C5" w14:textId="77777777" w:rsidR="004D5C8B" w:rsidRDefault="004D5C8B">
            <w:pPr>
              <w:rPr>
                <w:sz w:val="24"/>
                <w:szCs w:val="24"/>
              </w:rPr>
            </w:pPr>
          </w:p>
          <w:p w14:paraId="4ED509C6" w14:textId="77777777" w:rsidR="004D5C8B" w:rsidRDefault="006D44E7">
            <w:pPr>
              <w:rPr>
                <w:sz w:val="24"/>
                <w:szCs w:val="24"/>
              </w:rPr>
            </w:pPr>
            <w:r>
              <w:rPr>
                <w:sz w:val="24"/>
                <w:szCs w:val="24"/>
              </w:rPr>
              <w:t xml:space="preserve">4.2.5 Under no circumstances should the aggregated total value of invoices, including the proposed value of your final invoice, exceed the amount stated in the signed contract, unless additional work has subsequently been agreed in writing as a formal contract variation.  </w:t>
            </w:r>
          </w:p>
          <w:p w14:paraId="4ED509C7" w14:textId="77777777" w:rsidR="004D5C8B" w:rsidRDefault="004D5C8B">
            <w:pPr>
              <w:rPr>
                <w:sz w:val="24"/>
                <w:szCs w:val="24"/>
              </w:rPr>
            </w:pPr>
          </w:p>
          <w:p w14:paraId="4ED509C8" w14:textId="77777777" w:rsidR="004D5C8B" w:rsidRDefault="006D44E7">
            <w:pPr>
              <w:rPr>
                <w:b/>
                <w:sz w:val="24"/>
                <w:szCs w:val="24"/>
              </w:rPr>
            </w:pPr>
            <w:r>
              <w:rPr>
                <w:b/>
                <w:sz w:val="24"/>
                <w:szCs w:val="24"/>
              </w:rPr>
              <w:t>4.3 Expenses</w:t>
            </w:r>
          </w:p>
          <w:p w14:paraId="4ED509C9" w14:textId="77777777" w:rsidR="004D5C8B" w:rsidRDefault="004D5C8B">
            <w:pPr>
              <w:ind w:left="720"/>
              <w:rPr>
                <w:b/>
                <w:sz w:val="24"/>
                <w:szCs w:val="24"/>
              </w:rPr>
            </w:pPr>
          </w:p>
          <w:p w14:paraId="4ED509CA" w14:textId="77777777" w:rsidR="004D5C8B" w:rsidRDefault="006D44E7">
            <w:r>
              <w:rPr>
                <w:sz w:val="24"/>
                <w:szCs w:val="24"/>
              </w:rPr>
              <w:t>4.3.1 Expenses will not be payable if a tenderer is invited to make a presentation for clarification purposes as part of the tender process.</w:t>
            </w:r>
          </w:p>
          <w:p w14:paraId="4ED509CB" w14:textId="77777777" w:rsidR="004D5C8B" w:rsidRDefault="004D5C8B">
            <w:pPr>
              <w:ind w:left="720"/>
              <w:rPr>
                <w:b/>
                <w:sz w:val="24"/>
                <w:szCs w:val="24"/>
              </w:rPr>
            </w:pPr>
          </w:p>
          <w:p w14:paraId="4ED509CC" w14:textId="77777777" w:rsidR="004D5C8B" w:rsidRDefault="006D44E7">
            <w:r>
              <w:rPr>
                <w:sz w:val="24"/>
                <w:szCs w:val="24"/>
              </w:rPr>
              <w:t xml:space="preserve">4.3.2 Expenses will not be paid by HMRC for travel to the Base Location specified on the Statement of Work. The Supplier shall account for this cost in the day rates proposed in tender.  </w:t>
            </w:r>
          </w:p>
          <w:p w14:paraId="4ED509CD" w14:textId="77777777" w:rsidR="004D5C8B" w:rsidRDefault="004D5C8B">
            <w:pPr>
              <w:tabs>
                <w:tab w:val="left" w:pos="709"/>
              </w:tabs>
              <w:rPr>
                <w:sz w:val="24"/>
                <w:szCs w:val="24"/>
              </w:rPr>
            </w:pPr>
          </w:p>
          <w:p w14:paraId="4ED509CE" w14:textId="77777777" w:rsidR="004D5C8B" w:rsidRDefault="006D44E7">
            <w:pPr>
              <w:rPr>
                <w:sz w:val="24"/>
                <w:szCs w:val="24"/>
              </w:rPr>
            </w:pPr>
            <w:r>
              <w:rPr>
                <w:sz w:val="24"/>
                <w:szCs w:val="24"/>
              </w:rPr>
              <w:t>4.3.3 All other expenses will be payable at the discretion of HMRC Work Manager at standard HMRC rates. The Supplier shall not incur any such expenses without the prior approval of the HMRC Work Manager. Any expense incurred by the Supplier without prior approval shall not be reimbursed.</w:t>
            </w:r>
          </w:p>
          <w:p w14:paraId="4ED509CF" w14:textId="77777777" w:rsidR="004D5C8B" w:rsidRDefault="004D5C8B">
            <w:pPr>
              <w:rPr>
                <w:sz w:val="24"/>
                <w:szCs w:val="24"/>
              </w:rPr>
            </w:pPr>
          </w:p>
        </w:tc>
      </w:tr>
      <w:tr w:rsidR="004D5C8B" w14:paraId="4ED509D3" w14:textId="77777777">
        <w:tc>
          <w:tcPr>
            <w:tcW w:w="1451" w:type="dxa"/>
            <w:tcBorders>
              <w:top w:val="single" w:sz="4" w:space="0" w:color="000000"/>
              <w:left w:val="single" w:sz="4" w:space="0" w:color="000000"/>
              <w:bottom w:val="single" w:sz="4" w:space="0" w:color="000000"/>
            </w:tcBorders>
            <w:shd w:val="clear" w:color="auto" w:fill="E0E0E0"/>
            <w:tcMar>
              <w:top w:w="0" w:type="dxa"/>
              <w:left w:w="108" w:type="dxa"/>
              <w:bottom w:w="0" w:type="dxa"/>
              <w:right w:w="108" w:type="dxa"/>
            </w:tcMar>
          </w:tcPr>
          <w:p w14:paraId="4ED509D1" w14:textId="77777777" w:rsidR="004D5C8B" w:rsidRDefault="006D44E7">
            <w:pPr>
              <w:spacing w:before="60" w:after="60"/>
              <w:rPr>
                <w:b/>
                <w:sz w:val="24"/>
                <w:szCs w:val="24"/>
              </w:rPr>
            </w:pPr>
            <w:r>
              <w:rPr>
                <w:b/>
                <w:sz w:val="24"/>
                <w:szCs w:val="24"/>
              </w:rPr>
              <w:lastRenderedPageBreak/>
              <w:t>5</w:t>
            </w:r>
          </w:p>
        </w:tc>
        <w:tc>
          <w:tcPr>
            <w:tcW w:w="8042" w:type="dxa"/>
            <w:gridSpan w:val="2"/>
            <w:tcBorders>
              <w:top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ED509D2" w14:textId="77777777" w:rsidR="004D5C8B" w:rsidRDefault="006D44E7">
            <w:pPr>
              <w:spacing w:before="60" w:after="60"/>
              <w:rPr>
                <w:b/>
                <w:sz w:val="24"/>
                <w:szCs w:val="24"/>
              </w:rPr>
            </w:pPr>
            <w:r>
              <w:rPr>
                <w:b/>
                <w:sz w:val="24"/>
                <w:szCs w:val="24"/>
              </w:rPr>
              <w:t>Commercial Terms</w:t>
            </w:r>
          </w:p>
        </w:tc>
      </w:tr>
      <w:tr w:rsidR="004D5C8B" w14:paraId="4ED509E3" w14:textId="77777777">
        <w:tc>
          <w:tcPr>
            <w:tcW w:w="94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509D4" w14:textId="77777777" w:rsidR="004D5C8B" w:rsidRDefault="004D5C8B">
            <w:pPr>
              <w:rPr>
                <w:b/>
                <w:sz w:val="24"/>
                <w:szCs w:val="24"/>
              </w:rPr>
            </w:pPr>
          </w:p>
          <w:p w14:paraId="4ED509D5" w14:textId="77777777" w:rsidR="004D5C8B" w:rsidRDefault="006D44E7">
            <w:r>
              <w:rPr>
                <w:b/>
                <w:sz w:val="24"/>
                <w:szCs w:val="24"/>
              </w:rPr>
              <w:t>5.1 Terms &amp; Conditions.</w:t>
            </w:r>
          </w:p>
          <w:p w14:paraId="4ED509D6" w14:textId="77777777" w:rsidR="004D5C8B" w:rsidRDefault="004D5C8B">
            <w:pPr>
              <w:ind w:left="720"/>
              <w:rPr>
                <w:sz w:val="24"/>
                <w:szCs w:val="24"/>
              </w:rPr>
            </w:pPr>
          </w:p>
          <w:p w14:paraId="4ED509D7" w14:textId="77777777" w:rsidR="004D5C8B" w:rsidRDefault="006D44E7">
            <w:pPr>
              <w:rPr>
                <w:sz w:val="24"/>
                <w:szCs w:val="24"/>
              </w:rPr>
            </w:pPr>
            <w:r>
              <w:rPr>
                <w:sz w:val="24"/>
                <w:szCs w:val="24"/>
              </w:rPr>
              <w:t xml:space="preserve">5.1.1 Any contract </w:t>
            </w:r>
            <w:proofErr w:type="gramStart"/>
            <w:r>
              <w:rPr>
                <w:sz w:val="24"/>
                <w:szCs w:val="24"/>
              </w:rPr>
              <w:t>entered into</w:t>
            </w:r>
            <w:proofErr w:type="gramEnd"/>
            <w:r>
              <w:rPr>
                <w:sz w:val="24"/>
                <w:szCs w:val="24"/>
              </w:rPr>
              <w:t xml:space="preserve"> as a result of this Invitation to Tender process will be under the CCS Management Consultancy Framework Three (MCF3), Contract ID RM6187, Terms &amp; Conditions.</w:t>
            </w:r>
          </w:p>
          <w:p w14:paraId="4ED509D8" w14:textId="77777777" w:rsidR="004D5C8B" w:rsidRDefault="004D5C8B">
            <w:pPr>
              <w:ind w:left="720"/>
              <w:rPr>
                <w:sz w:val="24"/>
                <w:szCs w:val="24"/>
              </w:rPr>
            </w:pPr>
          </w:p>
          <w:p w14:paraId="4ED509D9" w14:textId="77777777" w:rsidR="004D5C8B" w:rsidRDefault="006D44E7">
            <w:pPr>
              <w:rPr>
                <w:sz w:val="24"/>
                <w:szCs w:val="24"/>
              </w:rPr>
            </w:pPr>
            <w:r>
              <w:rPr>
                <w:sz w:val="24"/>
                <w:szCs w:val="24"/>
              </w:rPr>
              <w:t xml:space="preserve">5.1.2 The RM6187 MCF3 Call Off Order Form will be used to formalise and execute the contract and will include the framework Terms &amp; Conditions.  </w:t>
            </w:r>
          </w:p>
          <w:p w14:paraId="4ED509DA" w14:textId="77777777" w:rsidR="004D5C8B" w:rsidRDefault="006D44E7">
            <w:pPr>
              <w:ind w:left="540" w:hanging="540"/>
              <w:rPr>
                <w:sz w:val="24"/>
                <w:szCs w:val="24"/>
              </w:rPr>
            </w:pPr>
            <w:r>
              <w:rPr>
                <w:sz w:val="24"/>
                <w:szCs w:val="24"/>
              </w:rPr>
              <w:t xml:space="preserve"> </w:t>
            </w:r>
          </w:p>
          <w:p w14:paraId="4ED509DB" w14:textId="77777777" w:rsidR="004D5C8B" w:rsidRDefault="006D44E7">
            <w:pPr>
              <w:rPr>
                <w:b/>
                <w:sz w:val="24"/>
                <w:szCs w:val="24"/>
              </w:rPr>
            </w:pPr>
            <w:r>
              <w:rPr>
                <w:b/>
                <w:sz w:val="24"/>
                <w:szCs w:val="24"/>
              </w:rPr>
              <w:t xml:space="preserve">5.2 Additional HMRC specific terms &amp; conditions. </w:t>
            </w:r>
          </w:p>
          <w:p w14:paraId="4ED509DC" w14:textId="77777777" w:rsidR="004D5C8B" w:rsidRDefault="004D5C8B">
            <w:pPr>
              <w:ind w:left="720"/>
              <w:rPr>
                <w:b/>
                <w:sz w:val="24"/>
                <w:szCs w:val="24"/>
              </w:rPr>
            </w:pPr>
          </w:p>
          <w:p w14:paraId="4ED509DD" w14:textId="77777777" w:rsidR="004D5C8B" w:rsidRDefault="006D44E7">
            <w:pPr>
              <w:rPr>
                <w:sz w:val="24"/>
                <w:szCs w:val="24"/>
              </w:rPr>
            </w:pPr>
            <w:r>
              <w:rPr>
                <w:sz w:val="24"/>
                <w:szCs w:val="24"/>
              </w:rPr>
              <w:t>5.2.1 HMRC’s Mandatory Terms shall be included in this call-off contract. A copy of HMRC’s Mandatory Terms have been included in the SAP Ariba Event at Attachments section 1. For the avoidance of doubt and contrary to any other provision relating to precedence of terms in the Call-Off Contract, in case of any ambiguity or conflict, the Authority’s mandatory terms will supersede any other terms in the Call-Off Contract.</w:t>
            </w:r>
          </w:p>
          <w:p w14:paraId="4ED509DE" w14:textId="77777777" w:rsidR="004D5C8B" w:rsidRDefault="004D5C8B">
            <w:pPr>
              <w:rPr>
                <w:sz w:val="24"/>
                <w:szCs w:val="24"/>
              </w:rPr>
            </w:pPr>
          </w:p>
          <w:p w14:paraId="4ED509DF" w14:textId="77777777" w:rsidR="004D5C8B" w:rsidRDefault="006D44E7">
            <w:r>
              <w:rPr>
                <w:sz w:val="24"/>
                <w:szCs w:val="24"/>
              </w:rPr>
              <w:lastRenderedPageBreak/>
              <w:t xml:space="preserve">5.2.2 The Supplier shall ensure that all personnel (employees, sub-contractors, associates etc) providing services have been checked in accordance with the </w:t>
            </w:r>
            <w:hyperlink r:id="rId8" w:history="1">
              <w:r>
                <w:rPr>
                  <w:rStyle w:val="Hyperlink"/>
                  <w:sz w:val="24"/>
                  <w:szCs w:val="24"/>
                </w:rPr>
                <w:t>HMG Baseline Personnel Security Standards (BPSS).</w:t>
              </w:r>
            </w:hyperlink>
            <w:r>
              <w:rPr>
                <w:sz w:val="24"/>
                <w:szCs w:val="24"/>
              </w:rPr>
              <w:t xml:space="preserve">  The Supplier will be asked to provide further assurance at the ‘point of supply’.</w:t>
            </w:r>
          </w:p>
          <w:p w14:paraId="4ED509E0" w14:textId="77777777" w:rsidR="004D5C8B" w:rsidRDefault="004D5C8B">
            <w:pPr>
              <w:rPr>
                <w:sz w:val="24"/>
                <w:szCs w:val="24"/>
              </w:rPr>
            </w:pPr>
          </w:p>
          <w:p w14:paraId="4ED509E1" w14:textId="77777777" w:rsidR="004D5C8B" w:rsidRDefault="006D44E7">
            <w:pPr>
              <w:rPr>
                <w:sz w:val="24"/>
                <w:szCs w:val="24"/>
              </w:rPr>
            </w:pPr>
            <w:r>
              <w:rPr>
                <w:sz w:val="24"/>
                <w:szCs w:val="24"/>
              </w:rPr>
              <w:t>5.2.3 By submitting a response to this Invitation to Tender, HMRC will deem that the Supplier accepts the above HMRC minimum requirements.</w:t>
            </w:r>
          </w:p>
          <w:p w14:paraId="4ED509E2" w14:textId="77777777" w:rsidR="004D5C8B" w:rsidRDefault="004D5C8B">
            <w:pPr>
              <w:rPr>
                <w:sz w:val="24"/>
                <w:szCs w:val="24"/>
              </w:rPr>
            </w:pPr>
          </w:p>
        </w:tc>
      </w:tr>
    </w:tbl>
    <w:p w14:paraId="4ED509E4" w14:textId="77777777" w:rsidR="004D5C8B" w:rsidRDefault="004D5C8B">
      <w:pPr>
        <w:pStyle w:val="Standard"/>
      </w:pPr>
    </w:p>
    <w:tbl>
      <w:tblPr>
        <w:tblW w:w="9595" w:type="dxa"/>
        <w:tblCellMar>
          <w:left w:w="10" w:type="dxa"/>
          <w:right w:w="10" w:type="dxa"/>
        </w:tblCellMar>
        <w:tblLook w:val="04A0" w:firstRow="1" w:lastRow="0" w:firstColumn="1" w:lastColumn="0" w:noHBand="0" w:noVBand="1"/>
      </w:tblPr>
      <w:tblGrid>
        <w:gridCol w:w="2323"/>
        <w:gridCol w:w="7272"/>
      </w:tblGrid>
      <w:tr w:rsidR="004D5C8B" w14:paraId="4ED509E6" w14:textId="77777777">
        <w:tc>
          <w:tcPr>
            <w:tcW w:w="959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5" w14:textId="77777777" w:rsidR="004D5C8B" w:rsidRDefault="006D44E7">
            <w:pPr>
              <w:jc w:val="center"/>
              <w:rPr>
                <w:rFonts w:eastAsia="Times New Roman"/>
                <w:b/>
                <w:bCs/>
                <w:sz w:val="24"/>
                <w:szCs w:val="24"/>
                <w:lang w:eastAsia="en-GB"/>
              </w:rPr>
            </w:pPr>
            <w:r>
              <w:rPr>
                <w:rFonts w:eastAsia="Times New Roman"/>
                <w:b/>
                <w:bCs/>
                <w:sz w:val="24"/>
                <w:szCs w:val="24"/>
                <w:lang w:eastAsia="en-GB"/>
              </w:rPr>
              <w:t>SCENARIO FOR PROPOSAL</w:t>
            </w:r>
          </w:p>
        </w:tc>
      </w:tr>
      <w:tr w:rsidR="004D5C8B" w14:paraId="4ED509EA" w14:textId="77777777">
        <w:tc>
          <w:tcPr>
            <w:tcW w:w="232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7" w14:textId="77777777" w:rsidR="004D5C8B" w:rsidRDefault="006D44E7">
            <w:r>
              <w:rPr>
                <w:rFonts w:eastAsia="Times New Roman"/>
                <w:b/>
                <w:bCs/>
                <w:sz w:val="24"/>
                <w:szCs w:val="24"/>
                <w:lang w:val="en-US" w:eastAsia="en-GB"/>
              </w:rPr>
              <w:t>Name of requirements</w:t>
            </w:r>
            <w:r>
              <w:rPr>
                <w:rFonts w:eastAsia="Times New Roman"/>
                <w:sz w:val="24"/>
                <w:szCs w:val="24"/>
                <w:lang w:eastAsia="en-GB"/>
              </w:rPr>
              <w:t> </w:t>
            </w:r>
          </w:p>
        </w:tc>
        <w:tc>
          <w:tcPr>
            <w:tcW w:w="727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8" w14:textId="77777777" w:rsidR="004D5C8B" w:rsidRDefault="006D44E7">
            <w:pPr>
              <w:rPr>
                <w:rFonts w:eastAsia="Times New Roman"/>
                <w:sz w:val="24"/>
                <w:szCs w:val="24"/>
                <w:lang w:val="en-US" w:eastAsia="en-GB"/>
              </w:rPr>
            </w:pPr>
            <w:r>
              <w:rPr>
                <w:rFonts w:eastAsia="Times New Roman"/>
                <w:sz w:val="24"/>
                <w:szCs w:val="24"/>
                <w:lang w:val="en-US" w:eastAsia="en-GB"/>
              </w:rPr>
              <w:t xml:space="preserve">SR1162944885 - Specialist IT Commercial Support Partner </w:t>
            </w:r>
          </w:p>
          <w:p w14:paraId="4ED509E9" w14:textId="77777777" w:rsidR="004D5C8B" w:rsidRDefault="006D44E7">
            <w:pPr>
              <w:rPr>
                <w:rFonts w:eastAsia="Times New Roman"/>
                <w:sz w:val="24"/>
                <w:szCs w:val="24"/>
                <w:lang w:val="en-US" w:eastAsia="en-GB"/>
              </w:rPr>
            </w:pPr>
            <w:r>
              <w:rPr>
                <w:rFonts w:eastAsia="Times New Roman"/>
                <w:sz w:val="24"/>
                <w:szCs w:val="24"/>
                <w:lang w:val="en-US" w:eastAsia="en-GB"/>
              </w:rPr>
              <w:t>Development and implementation of complex commercial frameworks.</w:t>
            </w:r>
          </w:p>
        </w:tc>
      </w:tr>
      <w:tr w:rsidR="004D5C8B" w14:paraId="4ED509EE" w14:textId="77777777">
        <w:tc>
          <w:tcPr>
            <w:tcW w:w="232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B" w14:textId="77777777" w:rsidR="004D5C8B" w:rsidRDefault="006D44E7">
            <w:r>
              <w:rPr>
                <w:rFonts w:eastAsia="Times New Roman"/>
                <w:b/>
                <w:bCs/>
                <w:sz w:val="24"/>
                <w:szCs w:val="24"/>
                <w:lang w:val="en-US" w:eastAsia="en-GB"/>
              </w:rPr>
              <w:t>Scenario Purpose</w:t>
            </w:r>
            <w:r>
              <w:rPr>
                <w:rFonts w:eastAsia="Times New Roman"/>
                <w:sz w:val="24"/>
                <w:szCs w:val="24"/>
                <w:lang w:eastAsia="en-GB"/>
              </w:rPr>
              <w:t> </w:t>
            </w:r>
          </w:p>
        </w:tc>
        <w:tc>
          <w:tcPr>
            <w:tcW w:w="727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C" w14:textId="77777777" w:rsidR="004D5C8B" w:rsidRDefault="006D44E7">
            <w:pPr>
              <w:rPr>
                <w:rFonts w:eastAsia="Times New Roman"/>
                <w:sz w:val="24"/>
                <w:szCs w:val="24"/>
                <w:lang w:val="en-US" w:eastAsia="en-GB"/>
              </w:rPr>
            </w:pPr>
            <w:r>
              <w:rPr>
                <w:rFonts w:eastAsia="Times New Roman"/>
                <w:sz w:val="24"/>
                <w:szCs w:val="24"/>
                <w:lang w:val="en-US" w:eastAsia="en-GB"/>
              </w:rPr>
              <w:t>The purpose of the Scenario is to enable potential suppliers to articulate how they would approach the development and delivery of complex commercial frameworks to help deliver HMRC’s IT Strategy.</w:t>
            </w:r>
          </w:p>
          <w:p w14:paraId="4ED509ED" w14:textId="77777777" w:rsidR="004D5C8B" w:rsidRDefault="006D44E7">
            <w:pPr>
              <w:rPr>
                <w:rFonts w:eastAsia="Times New Roman"/>
                <w:sz w:val="24"/>
                <w:szCs w:val="24"/>
                <w:lang w:eastAsia="en-GB"/>
              </w:rPr>
            </w:pPr>
            <w:r>
              <w:rPr>
                <w:rFonts w:eastAsia="Times New Roman"/>
                <w:sz w:val="24"/>
                <w:szCs w:val="24"/>
                <w:lang w:eastAsia="en-GB"/>
              </w:rPr>
              <w:t> </w:t>
            </w:r>
          </w:p>
        </w:tc>
      </w:tr>
      <w:tr w:rsidR="004D5C8B" w14:paraId="4ED50A09" w14:textId="77777777">
        <w:tc>
          <w:tcPr>
            <w:tcW w:w="232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EF" w14:textId="77777777" w:rsidR="004D5C8B" w:rsidRDefault="006D44E7">
            <w:r>
              <w:rPr>
                <w:rFonts w:eastAsia="Times New Roman"/>
                <w:b/>
                <w:bCs/>
                <w:sz w:val="24"/>
                <w:szCs w:val="24"/>
                <w:lang w:val="en-US" w:eastAsia="en-GB"/>
              </w:rPr>
              <w:t>Scenario Statement</w:t>
            </w:r>
            <w:r>
              <w:rPr>
                <w:rFonts w:eastAsia="Times New Roman"/>
                <w:sz w:val="24"/>
                <w:szCs w:val="24"/>
                <w:lang w:eastAsia="en-GB"/>
              </w:rPr>
              <w:t> </w:t>
            </w:r>
          </w:p>
          <w:p w14:paraId="4ED509F0" w14:textId="77777777" w:rsidR="004D5C8B" w:rsidRDefault="006D44E7">
            <w:r>
              <w:rPr>
                <w:rFonts w:eastAsia="Times New Roman"/>
                <w:sz w:val="24"/>
                <w:szCs w:val="24"/>
                <w:lang w:eastAsia="en-GB"/>
              </w:rPr>
              <w:t> </w:t>
            </w:r>
          </w:p>
        </w:tc>
        <w:tc>
          <w:tcPr>
            <w:tcW w:w="727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9F1" w14:textId="77777777" w:rsidR="004D5C8B" w:rsidRDefault="006D44E7">
            <w:r>
              <w:rPr>
                <w:rFonts w:eastAsia="Times New Roman"/>
                <w:b/>
                <w:bCs/>
                <w:sz w:val="24"/>
                <w:szCs w:val="24"/>
                <w:lang w:val="en-US" w:eastAsia="en-GB"/>
              </w:rPr>
              <w:t>HMRC present position:</w:t>
            </w:r>
            <w:r>
              <w:rPr>
                <w:rFonts w:eastAsia="Times New Roman"/>
                <w:sz w:val="24"/>
                <w:szCs w:val="24"/>
                <w:lang w:eastAsia="en-GB"/>
              </w:rPr>
              <w:t> </w:t>
            </w:r>
          </w:p>
          <w:p w14:paraId="4ED509F2" w14:textId="77777777" w:rsidR="004D5C8B" w:rsidRDefault="004D5C8B">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p>
          <w:p w14:paraId="4ED509F3" w14:textId="77777777" w:rsidR="004D5C8B" w:rsidRDefault="006D44E7">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r>
              <w:rPr>
                <w:sz w:val="24"/>
                <w:szCs w:val="24"/>
                <w:lang w:val="en-US"/>
              </w:rPr>
              <w:t xml:space="preserve">HMRC has one of the largest and most complex IT estates in Europe and has embarked upon a significant technology transformation journey through several initiatives and major </w:t>
            </w:r>
            <w:proofErr w:type="spellStart"/>
            <w:r>
              <w:rPr>
                <w:sz w:val="24"/>
                <w:szCs w:val="24"/>
                <w:lang w:val="en-US"/>
              </w:rPr>
              <w:t>programmes</w:t>
            </w:r>
            <w:proofErr w:type="spellEnd"/>
            <w:r>
              <w:rPr>
                <w:sz w:val="24"/>
                <w:szCs w:val="24"/>
                <w:lang w:val="en-US"/>
              </w:rPr>
              <w:t xml:space="preserve"> to enable its vision to run a “secure, flexible and modern IT estate”. The transformation journey includes a significant commercial element involving the embedding of the right operating model, </w:t>
            </w:r>
            <w:proofErr w:type="gramStart"/>
            <w:r>
              <w:rPr>
                <w:sz w:val="24"/>
                <w:szCs w:val="24"/>
                <w:lang w:val="en-US"/>
              </w:rPr>
              <w:t>capabilities</w:t>
            </w:r>
            <w:proofErr w:type="gramEnd"/>
            <w:r>
              <w:rPr>
                <w:sz w:val="24"/>
                <w:szCs w:val="24"/>
                <w:lang w:val="en-US"/>
              </w:rPr>
              <w:t xml:space="preserve"> and supply chain.</w:t>
            </w:r>
          </w:p>
          <w:p w14:paraId="4ED509F4" w14:textId="77777777" w:rsidR="004D5C8B" w:rsidRDefault="004D5C8B">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p>
          <w:p w14:paraId="4ED509F5" w14:textId="77777777" w:rsidR="004D5C8B" w:rsidRDefault="006D44E7">
            <w:pPr>
              <w:pBdr>
                <w:top w:val="single" w:sz="2" w:space="31" w:color="FFFFFF" w:shadow="1"/>
                <w:left w:val="single" w:sz="2" w:space="31" w:color="FFFFFF" w:shadow="1"/>
                <w:bottom w:val="single" w:sz="2" w:space="31" w:color="FFFFFF" w:shadow="1"/>
                <w:right w:val="single" w:sz="2" w:space="31" w:color="FFFFFF" w:shadow="1"/>
              </w:pBdr>
            </w:pPr>
            <w:r>
              <w:rPr>
                <w:sz w:val="24"/>
                <w:szCs w:val="24"/>
                <w:lang w:val="en-US"/>
              </w:rPr>
              <w:t>IT Commercial with</w:t>
            </w:r>
            <w:r>
              <w:rPr>
                <w:sz w:val="24"/>
                <w:szCs w:val="24"/>
              </w:rPr>
              <w:t xml:space="preserve"> </w:t>
            </w:r>
            <w:r>
              <w:rPr>
                <w:sz w:val="24"/>
                <w:szCs w:val="24"/>
                <w:lang w:val="en-US"/>
              </w:rPr>
              <w:t xml:space="preserve">the Chief Digital and Information Office (CDIO) have also embedded operating model changes to enable the transition to a multi-supplier IT landscape. </w:t>
            </w:r>
          </w:p>
          <w:p w14:paraId="4ED509F6" w14:textId="77777777" w:rsidR="004D5C8B" w:rsidRDefault="004D5C8B">
            <w:pPr>
              <w:pBdr>
                <w:top w:val="single" w:sz="2" w:space="31" w:color="FFFFFF" w:shadow="1"/>
                <w:left w:val="single" w:sz="2" w:space="31" w:color="FFFFFF" w:shadow="1"/>
                <w:bottom w:val="single" w:sz="2" w:space="31" w:color="FFFFFF" w:shadow="1"/>
                <w:right w:val="single" w:sz="2" w:space="31" w:color="FFFFFF" w:shadow="1"/>
              </w:pBdr>
              <w:rPr>
                <w:sz w:val="24"/>
                <w:szCs w:val="24"/>
              </w:rPr>
            </w:pPr>
          </w:p>
          <w:p w14:paraId="4ED509F7" w14:textId="77777777" w:rsidR="004D5C8B" w:rsidRDefault="006D44E7">
            <w:pPr>
              <w:pBdr>
                <w:top w:val="single" w:sz="2" w:space="31" w:color="FFFFFF" w:shadow="1"/>
                <w:left w:val="single" w:sz="2" w:space="31" w:color="FFFFFF" w:shadow="1"/>
                <w:bottom w:val="single" w:sz="2" w:space="31" w:color="FFFFFF" w:shadow="1"/>
                <w:right w:val="single" w:sz="2" w:space="31" w:color="FFFFFF" w:shadow="1"/>
              </w:pBdr>
              <w:rPr>
                <w:b/>
                <w:bCs/>
                <w:sz w:val="24"/>
                <w:szCs w:val="24"/>
                <w:lang w:val="en-US"/>
              </w:rPr>
            </w:pPr>
            <w:r>
              <w:rPr>
                <w:b/>
                <w:bCs/>
                <w:sz w:val="24"/>
                <w:szCs w:val="24"/>
                <w:lang w:val="en-US"/>
              </w:rPr>
              <w:t>What HMRC want to achieve:</w:t>
            </w:r>
          </w:p>
          <w:p w14:paraId="4ED509F8" w14:textId="77777777" w:rsidR="004D5C8B" w:rsidRDefault="004D5C8B">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p>
          <w:p w14:paraId="4ED509F9" w14:textId="77777777" w:rsidR="004D5C8B" w:rsidRDefault="006D44E7">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r>
              <w:rPr>
                <w:sz w:val="24"/>
                <w:szCs w:val="24"/>
                <w:lang w:val="en-US"/>
              </w:rPr>
              <w:t>Over the next few years, we anticipate further commercial transformation and delivery of complex portfolios of commercial activities within the IT sphere and will require specialist support to achieve these.</w:t>
            </w:r>
          </w:p>
          <w:p w14:paraId="4ED509FA" w14:textId="77777777" w:rsidR="004D5C8B" w:rsidRDefault="004D5C8B">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p>
          <w:p w14:paraId="4ED509FB" w14:textId="77777777" w:rsidR="004D5C8B" w:rsidRDefault="006D44E7">
            <w:pPr>
              <w:pBdr>
                <w:top w:val="single" w:sz="2" w:space="31" w:color="FFFFFF" w:shadow="1"/>
                <w:left w:val="single" w:sz="2" w:space="31" w:color="FFFFFF" w:shadow="1"/>
                <w:bottom w:val="single" w:sz="2" w:space="31" w:color="FFFFFF" w:shadow="1"/>
                <w:right w:val="single" w:sz="2" w:space="31" w:color="FFFFFF" w:shadow="1"/>
              </w:pBdr>
              <w:rPr>
                <w:sz w:val="24"/>
                <w:szCs w:val="24"/>
                <w:lang w:val="en-US"/>
              </w:rPr>
            </w:pPr>
            <w:r>
              <w:rPr>
                <w:sz w:val="24"/>
                <w:szCs w:val="24"/>
                <w:lang w:val="en-US"/>
              </w:rPr>
              <w:t>One area where specialist support is required is in the development and implementation of complex commercial frameworks where existing options may not meet our requirements. This will require the following:</w:t>
            </w:r>
          </w:p>
          <w:p w14:paraId="4ED509FC" w14:textId="77777777" w:rsidR="004D5C8B" w:rsidRDefault="006D44E7">
            <w:pPr>
              <w:pStyle w:val="ListParagraph"/>
              <w:numPr>
                <w:ilvl w:val="0"/>
                <w:numId w:val="104"/>
              </w:numPr>
              <w:pBdr>
                <w:top w:val="single" w:sz="2" w:space="31" w:color="FFFFFF" w:shadow="1"/>
                <w:left w:val="single" w:sz="2" w:space="31" w:color="FFFFFF" w:shadow="1"/>
                <w:bottom w:val="single" w:sz="2" w:space="31" w:color="FFFFFF" w:shadow="1"/>
                <w:right w:val="single" w:sz="2" w:space="31" w:color="FFFFFF" w:shadow="1"/>
              </w:pBdr>
              <w:suppressAutoHyphens w:val="0"/>
              <w:spacing w:after="160" w:line="249" w:lineRule="auto"/>
              <w:textAlignment w:val="auto"/>
              <w:rPr>
                <w:rFonts w:cs="Arial"/>
                <w:sz w:val="24"/>
                <w:szCs w:val="24"/>
                <w:lang w:val="en-US"/>
              </w:rPr>
            </w:pPr>
            <w:r>
              <w:rPr>
                <w:rFonts w:cs="Arial"/>
                <w:sz w:val="24"/>
                <w:szCs w:val="24"/>
                <w:lang w:val="en-US"/>
              </w:rPr>
              <w:lastRenderedPageBreak/>
              <w:t>Assessing existing routes to market and identifying whether these are the optimal solutions.</w:t>
            </w:r>
          </w:p>
          <w:p w14:paraId="4ED509FD" w14:textId="77777777" w:rsidR="004D5C8B" w:rsidRDefault="006D44E7">
            <w:pPr>
              <w:pStyle w:val="ListParagraph"/>
              <w:numPr>
                <w:ilvl w:val="0"/>
                <w:numId w:val="104"/>
              </w:numPr>
              <w:suppressAutoHyphens w:val="0"/>
              <w:spacing w:after="160" w:line="249" w:lineRule="auto"/>
              <w:textAlignment w:val="auto"/>
            </w:pPr>
            <w:r>
              <w:rPr>
                <w:rFonts w:cs="Arial"/>
                <w:sz w:val="24"/>
                <w:szCs w:val="24"/>
                <w:lang w:val="en-US"/>
              </w:rPr>
              <w:t>Where existing solutions are identified as sub-optimal, identify the optimal route to market to provide the transformation solutions required to deliver HMRC’s IT Strategy. This may include</w:t>
            </w:r>
            <w:r>
              <w:rPr>
                <w:rFonts w:cs="Arial"/>
                <w:sz w:val="24"/>
                <w:szCs w:val="24"/>
              </w:rPr>
              <w:t xml:space="preserve"> </w:t>
            </w:r>
            <w:r>
              <w:rPr>
                <w:rFonts w:cs="Arial"/>
                <w:sz w:val="24"/>
                <w:szCs w:val="24"/>
                <w:lang w:val="en-US"/>
              </w:rPr>
              <w:t>a framework development process, from options assessment, structuring, delivering new frameworks and executing subsequent call-off arrangements.</w:t>
            </w:r>
          </w:p>
          <w:p w14:paraId="4ED509FE" w14:textId="77777777" w:rsidR="004D5C8B" w:rsidRDefault="006D44E7">
            <w:pPr>
              <w:ind w:right="249"/>
              <w:rPr>
                <w:rFonts w:eastAsia="Calibri"/>
                <w:sz w:val="24"/>
                <w:szCs w:val="24"/>
              </w:rPr>
            </w:pPr>
            <w:r>
              <w:rPr>
                <w:rFonts w:eastAsia="Calibri"/>
                <w:sz w:val="24"/>
                <w:szCs w:val="24"/>
              </w:rPr>
              <w:t>HMRC also want to achieve:</w:t>
            </w:r>
          </w:p>
          <w:p w14:paraId="4ED509FF" w14:textId="77777777" w:rsidR="004D5C8B" w:rsidRDefault="004D5C8B">
            <w:pPr>
              <w:ind w:right="249"/>
              <w:rPr>
                <w:rFonts w:eastAsia="Calibri"/>
                <w:sz w:val="24"/>
                <w:szCs w:val="24"/>
              </w:rPr>
            </w:pPr>
          </w:p>
          <w:p w14:paraId="4ED50A00" w14:textId="77777777" w:rsidR="004D5C8B" w:rsidRDefault="006D44E7">
            <w:pPr>
              <w:pStyle w:val="ListParagraph"/>
              <w:numPr>
                <w:ilvl w:val="0"/>
                <w:numId w:val="104"/>
              </w:numPr>
              <w:suppressAutoHyphens w:val="0"/>
            </w:pPr>
            <w:r>
              <w:rPr>
                <w:rFonts w:cs="Arial"/>
                <w:sz w:val="24"/>
                <w:szCs w:val="24"/>
              </w:rPr>
              <w:t>Effective implementation and transition plans with appropriate supply chain/mitigating impact on business operations.</w:t>
            </w:r>
          </w:p>
          <w:p w14:paraId="4ED50A01" w14:textId="77777777" w:rsidR="004D5C8B" w:rsidRDefault="006D44E7">
            <w:pPr>
              <w:pStyle w:val="ListParagraph"/>
              <w:numPr>
                <w:ilvl w:val="0"/>
                <w:numId w:val="104"/>
              </w:numPr>
              <w:suppressAutoHyphens w:val="0"/>
            </w:pPr>
            <w:r>
              <w:rPr>
                <w:rFonts w:eastAsia="Calibri" w:cs="Arial"/>
                <w:sz w:val="24"/>
                <w:szCs w:val="24"/>
              </w:rPr>
              <w:t>Effective management of IT Commercial procurement processes to improve performance and ensure value for money is achieved.</w:t>
            </w:r>
          </w:p>
          <w:p w14:paraId="4ED50A02" w14:textId="77777777" w:rsidR="004D5C8B" w:rsidRDefault="006D44E7">
            <w:pPr>
              <w:pStyle w:val="ListParagraph"/>
              <w:numPr>
                <w:ilvl w:val="0"/>
                <w:numId w:val="104"/>
              </w:numPr>
              <w:suppressAutoHyphens w:val="0"/>
              <w:rPr>
                <w:rFonts w:eastAsia="Times New Roman" w:cs="Arial"/>
                <w:sz w:val="24"/>
                <w:szCs w:val="24"/>
                <w:lang w:eastAsia="en-GB"/>
              </w:rPr>
            </w:pPr>
            <w:r>
              <w:rPr>
                <w:rFonts w:eastAsia="Times New Roman" w:cs="Arial"/>
                <w:sz w:val="24"/>
                <w:szCs w:val="24"/>
                <w:lang w:eastAsia="en-GB"/>
              </w:rPr>
              <w:t>Better performance management of contracts and improved management information.</w:t>
            </w:r>
          </w:p>
          <w:p w14:paraId="4ED50A03" w14:textId="77777777" w:rsidR="004D5C8B" w:rsidRDefault="006D44E7">
            <w:pPr>
              <w:pStyle w:val="ListParagraph"/>
              <w:numPr>
                <w:ilvl w:val="0"/>
                <w:numId w:val="104"/>
              </w:numPr>
              <w:suppressAutoHyphens w:val="0"/>
              <w:rPr>
                <w:rFonts w:eastAsia="Times New Roman" w:cs="Arial"/>
                <w:sz w:val="24"/>
                <w:szCs w:val="24"/>
                <w:lang w:eastAsia="en-GB"/>
              </w:rPr>
            </w:pPr>
            <w:r>
              <w:rPr>
                <w:rFonts w:eastAsia="Times New Roman" w:cs="Arial"/>
                <w:sz w:val="24"/>
                <w:szCs w:val="24"/>
                <w:lang w:eastAsia="en-GB"/>
              </w:rPr>
              <w:t>Better reporting and communication mechanisms.</w:t>
            </w:r>
          </w:p>
          <w:p w14:paraId="4ED50A04" w14:textId="77777777" w:rsidR="004D5C8B" w:rsidRDefault="006D44E7">
            <w:pPr>
              <w:pStyle w:val="ListParagraph"/>
              <w:numPr>
                <w:ilvl w:val="0"/>
                <w:numId w:val="104"/>
              </w:numPr>
              <w:suppressAutoHyphens w:val="0"/>
              <w:rPr>
                <w:rFonts w:eastAsia="Times New Roman" w:cs="Arial"/>
                <w:sz w:val="24"/>
                <w:szCs w:val="24"/>
                <w:lang w:eastAsia="en-GB"/>
              </w:rPr>
            </w:pPr>
            <w:r>
              <w:rPr>
                <w:rFonts w:eastAsia="Times New Roman" w:cs="Arial"/>
                <w:sz w:val="24"/>
                <w:szCs w:val="24"/>
                <w:lang w:eastAsia="en-GB"/>
              </w:rPr>
              <w:t>Increased compliance with procurement rules and adherence of internal and external governance.</w:t>
            </w:r>
          </w:p>
          <w:p w14:paraId="4ED50A05" w14:textId="77777777" w:rsidR="004D5C8B" w:rsidRDefault="004D5C8B">
            <w:pPr>
              <w:rPr>
                <w:rFonts w:eastAsia="Times New Roman"/>
                <w:sz w:val="24"/>
                <w:szCs w:val="24"/>
              </w:rPr>
            </w:pPr>
          </w:p>
          <w:p w14:paraId="4ED50A06" w14:textId="77777777" w:rsidR="004D5C8B" w:rsidRDefault="006D44E7">
            <w:pPr>
              <w:rPr>
                <w:rFonts w:eastAsia="Times New Roman"/>
                <w:sz w:val="24"/>
                <w:szCs w:val="24"/>
              </w:rPr>
            </w:pPr>
            <w:r>
              <w:rPr>
                <w:rFonts w:eastAsia="Times New Roman"/>
                <w:sz w:val="24"/>
                <w:szCs w:val="24"/>
              </w:rPr>
              <w:t>Based on the Technology Sourcing Programme plan we expect the complex commercial frameworks strategy to be delivered by August 2023 and the on-going requirements will transfer to in-house BAU commercial teams.</w:t>
            </w:r>
          </w:p>
          <w:p w14:paraId="4ED50A07" w14:textId="77777777" w:rsidR="004D5C8B" w:rsidRDefault="004D5C8B">
            <w:pPr>
              <w:rPr>
                <w:rFonts w:eastAsia="Times New Roman"/>
                <w:color w:val="FF0000"/>
                <w:sz w:val="24"/>
                <w:szCs w:val="24"/>
                <w:lang w:eastAsia="en-GB"/>
              </w:rPr>
            </w:pPr>
          </w:p>
          <w:p w14:paraId="4ED50A08" w14:textId="77777777" w:rsidR="004D5C8B" w:rsidRDefault="004D5C8B">
            <w:pPr>
              <w:rPr>
                <w:rFonts w:eastAsia="Times New Roman"/>
                <w:color w:val="FF0000"/>
                <w:sz w:val="24"/>
                <w:szCs w:val="24"/>
                <w:lang w:eastAsia="en-GB"/>
              </w:rPr>
            </w:pPr>
          </w:p>
        </w:tc>
      </w:tr>
      <w:tr w:rsidR="004D5C8B" w14:paraId="4ED50A1A" w14:textId="77777777">
        <w:tc>
          <w:tcPr>
            <w:tcW w:w="232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0A" w14:textId="77777777" w:rsidR="004D5C8B" w:rsidRDefault="006D44E7">
            <w:pPr>
              <w:rPr>
                <w:rFonts w:eastAsia="Times New Roman"/>
                <w:b/>
                <w:bCs/>
                <w:sz w:val="24"/>
                <w:szCs w:val="24"/>
                <w:lang w:val="en-US" w:eastAsia="en-GB"/>
              </w:rPr>
            </w:pPr>
            <w:r>
              <w:rPr>
                <w:rFonts w:eastAsia="Times New Roman"/>
                <w:b/>
                <w:bCs/>
                <w:sz w:val="24"/>
                <w:szCs w:val="24"/>
                <w:lang w:val="en-US" w:eastAsia="en-GB"/>
              </w:rPr>
              <w:lastRenderedPageBreak/>
              <w:t>Supplier Submission should include</w:t>
            </w:r>
          </w:p>
          <w:p w14:paraId="4ED50A0B" w14:textId="77777777" w:rsidR="004D5C8B" w:rsidRDefault="004D5C8B">
            <w:pPr>
              <w:rPr>
                <w:rFonts w:eastAsia="Times New Roman"/>
                <w:b/>
                <w:bCs/>
                <w:sz w:val="24"/>
                <w:szCs w:val="24"/>
                <w:lang w:val="en-US" w:eastAsia="en-GB"/>
              </w:rPr>
            </w:pPr>
          </w:p>
        </w:tc>
        <w:tc>
          <w:tcPr>
            <w:tcW w:w="727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0C" w14:textId="77777777" w:rsidR="004D5C8B" w:rsidRDefault="006D44E7">
            <w:pPr>
              <w:rPr>
                <w:rFonts w:eastAsia="Times New Roman"/>
                <w:sz w:val="24"/>
                <w:szCs w:val="24"/>
                <w:lang w:val="en-US" w:eastAsia="en-GB"/>
              </w:rPr>
            </w:pPr>
            <w:r>
              <w:rPr>
                <w:rFonts w:eastAsia="Times New Roman"/>
                <w:sz w:val="24"/>
                <w:szCs w:val="24"/>
                <w:lang w:val="en-US" w:eastAsia="en-GB"/>
              </w:rPr>
              <w:t>Your submission should include how you propose to deliver HMRC’s requirements as stated above and will be evaluated against the following:</w:t>
            </w:r>
          </w:p>
          <w:p w14:paraId="4ED50A0D" w14:textId="77777777" w:rsidR="004D5C8B" w:rsidRDefault="004D5C8B">
            <w:pPr>
              <w:rPr>
                <w:rFonts w:eastAsia="Times New Roman"/>
                <w:sz w:val="24"/>
                <w:szCs w:val="24"/>
                <w:lang w:val="en-US" w:eastAsia="en-GB"/>
              </w:rPr>
            </w:pPr>
          </w:p>
          <w:p w14:paraId="4ED50A0E" w14:textId="77777777" w:rsidR="004D5C8B" w:rsidRDefault="006D44E7">
            <w:pPr>
              <w:pStyle w:val="ListParagraph"/>
              <w:numPr>
                <w:ilvl w:val="0"/>
                <w:numId w:val="105"/>
              </w:numPr>
              <w:suppressAutoHyphens w:val="0"/>
              <w:rPr>
                <w:rFonts w:eastAsia="Times New Roman" w:cs="Arial"/>
                <w:sz w:val="24"/>
                <w:szCs w:val="24"/>
                <w:lang w:val="en-US" w:eastAsia="en-GB"/>
              </w:rPr>
            </w:pPr>
            <w:r>
              <w:rPr>
                <w:rFonts w:eastAsia="Times New Roman" w:cs="Arial"/>
                <w:sz w:val="24"/>
                <w:szCs w:val="24"/>
                <w:lang w:val="en-US" w:eastAsia="en-GB"/>
              </w:rPr>
              <w:t xml:space="preserve">How you will assess whether existing routes to market for IT procurement are the optimal solutions based on what and how we procure. </w:t>
            </w:r>
          </w:p>
          <w:p w14:paraId="4ED50A0F" w14:textId="77777777" w:rsidR="004D5C8B" w:rsidRDefault="006D44E7">
            <w:pPr>
              <w:pStyle w:val="ListParagraph"/>
              <w:numPr>
                <w:ilvl w:val="0"/>
                <w:numId w:val="105"/>
              </w:numPr>
              <w:suppressAutoHyphens w:val="0"/>
            </w:pPr>
            <w:r>
              <w:rPr>
                <w:rFonts w:eastAsia="Times New Roman" w:cs="Arial"/>
                <w:sz w:val="24"/>
                <w:szCs w:val="24"/>
                <w:lang w:val="en-US" w:eastAsia="en-GB"/>
              </w:rPr>
              <w:t>Propose optimal routes to market that</w:t>
            </w:r>
            <w:r>
              <w:rPr>
                <w:rFonts w:cs="Arial"/>
                <w:sz w:val="24"/>
                <w:szCs w:val="24"/>
              </w:rPr>
              <w:t xml:space="preserve"> can provide the transformation solutions required to deliver our IT strategy</w:t>
            </w:r>
            <w:r>
              <w:rPr>
                <w:rFonts w:eastAsia="Times New Roman" w:cs="Arial"/>
                <w:sz w:val="24"/>
                <w:szCs w:val="24"/>
                <w:lang w:val="en-US" w:eastAsia="en-GB"/>
              </w:rPr>
              <w:t xml:space="preserve">, including the rationale used to come to your proposal. The current view of HMRC is that new HMRC-specific commercial frameworks may be required. However, alternative approaches will be considered </w:t>
            </w:r>
            <w:proofErr w:type="gramStart"/>
            <w:r>
              <w:rPr>
                <w:rFonts w:eastAsia="Times New Roman" w:cs="Arial"/>
                <w:sz w:val="24"/>
                <w:szCs w:val="24"/>
                <w:lang w:val="en-US" w:eastAsia="en-GB"/>
              </w:rPr>
              <w:t>as long as</w:t>
            </w:r>
            <w:proofErr w:type="gramEnd"/>
            <w:r>
              <w:rPr>
                <w:rFonts w:eastAsia="Times New Roman" w:cs="Arial"/>
                <w:sz w:val="24"/>
                <w:szCs w:val="24"/>
                <w:lang w:val="en-US" w:eastAsia="en-GB"/>
              </w:rPr>
              <w:t xml:space="preserve"> bidders provide robust reasoning for their proposed approach. </w:t>
            </w:r>
          </w:p>
          <w:p w14:paraId="4ED50A10" w14:textId="77777777" w:rsidR="004D5C8B" w:rsidRDefault="006D44E7">
            <w:pPr>
              <w:pStyle w:val="ListParagraph"/>
              <w:numPr>
                <w:ilvl w:val="0"/>
                <w:numId w:val="105"/>
              </w:numPr>
              <w:suppressAutoHyphens w:val="0"/>
              <w:rPr>
                <w:rFonts w:eastAsia="Times New Roman" w:cs="Arial"/>
                <w:sz w:val="24"/>
                <w:szCs w:val="24"/>
                <w:lang w:val="en-US" w:eastAsia="en-GB"/>
              </w:rPr>
            </w:pPr>
            <w:r>
              <w:rPr>
                <w:rFonts w:eastAsia="Times New Roman" w:cs="Arial"/>
                <w:sz w:val="24"/>
                <w:szCs w:val="24"/>
                <w:lang w:val="en-US" w:eastAsia="en-GB"/>
              </w:rPr>
              <w:t xml:space="preserve">Your strategy for supporting the integration of your proposed solution. This may </w:t>
            </w:r>
            <w:proofErr w:type="gramStart"/>
            <w:r>
              <w:rPr>
                <w:rFonts w:eastAsia="Times New Roman" w:cs="Arial"/>
                <w:sz w:val="24"/>
                <w:szCs w:val="24"/>
                <w:lang w:val="en-US" w:eastAsia="en-GB"/>
              </w:rPr>
              <w:t>cover:</w:t>
            </w:r>
            <w:proofErr w:type="gramEnd"/>
            <w:r>
              <w:rPr>
                <w:rFonts w:eastAsia="Times New Roman" w:cs="Arial"/>
                <w:sz w:val="24"/>
                <w:szCs w:val="24"/>
                <w:lang w:val="en-US" w:eastAsia="en-GB"/>
              </w:rPr>
              <w:t xml:space="preserve">  options assessment; change impact as</w:t>
            </w:r>
            <w:r>
              <w:rPr>
                <w:rFonts w:eastAsia="Times New Roman" w:cs="Arial"/>
                <w:sz w:val="24"/>
                <w:szCs w:val="24"/>
                <w:lang w:val="en-US" w:eastAsia="en-GB"/>
              </w:rPr>
              <w:lastRenderedPageBreak/>
              <w:t xml:space="preserve">sessment; a framework development process; structuring; delivering new frameworks (including implementation and transition); executing subsequent call-off arrangements. </w:t>
            </w:r>
          </w:p>
          <w:p w14:paraId="4ED50A11" w14:textId="77777777" w:rsidR="004D5C8B" w:rsidRDefault="006D44E7">
            <w:pPr>
              <w:pStyle w:val="ListParagraph"/>
              <w:numPr>
                <w:ilvl w:val="0"/>
                <w:numId w:val="105"/>
              </w:numPr>
              <w:suppressAutoHyphens w:val="0"/>
            </w:pPr>
            <w:r>
              <w:rPr>
                <w:rFonts w:eastAsia="Calibri" w:cs="Arial"/>
                <w:sz w:val="24"/>
                <w:szCs w:val="24"/>
              </w:rPr>
              <w:t xml:space="preserve">Effective management of IT Commercial procurement processes to improve performance and improve management information. </w:t>
            </w:r>
          </w:p>
          <w:p w14:paraId="4ED50A12" w14:textId="77777777" w:rsidR="004D5C8B" w:rsidRDefault="006D44E7">
            <w:pPr>
              <w:pStyle w:val="ListParagraph"/>
              <w:numPr>
                <w:ilvl w:val="0"/>
                <w:numId w:val="105"/>
              </w:numPr>
              <w:suppressAutoHyphens w:val="0"/>
            </w:pPr>
            <w:r>
              <w:rPr>
                <w:rFonts w:eastAsia="Times New Roman" w:cs="Arial"/>
                <w:sz w:val="24"/>
                <w:szCs w:val="24"/>
                <w:lang w:eastAsia="en-GB"/>
              </w:rPr>
              <w:t xml:space="preserve">How you will optimise reporting and communication mechanisms </w:t>
            </w:r>
          </w:p>
          <w:p w14:paraId="4ED50A13" w14:textId="77777777" w:rsidR="004D5C8B" w:rsidRDefault="006D44E7">
            <w:pPr>
              <w:pStyle w:val="ListParagraph"/>
              <w:numPr>
                <w:ilvl w:val="0"/>
                <w:numId w:val="105"/>
              </w:numPr>
              <w:suppressAutoHyphens w:val="0"/>
              <w:rPr>
                <w:rFonts w:eastAsia="Times New Roman" w:cs="Arial"/>
                <w:sz w:val="24"/>
                <w:szCs w:val="24"/>
                <w:lang w:val="en-US" w:eastAsia="en-GB"/>
              </w:rPr>
            </w:pPr>
            <w:r>
              <w:rPr>
                <w:rFonts w:eastAsia="Times New Roman" w:cs="Arial"/>
                <w:sz w:val="24"/>
                <w:szCs w:val="24"/>
                <w:lang w:val="en-US" w:eastAsia="en-GB"/>
              </w:rPr>
              <w:t>How you will capture benefits and savings of your proposed strategy.</w:t>
            </w:r>
          </w:p>
          <w:p w14:paraId="4ED50A14" w14:textId="77777777" w:rsidR="004D5C8B" w:rsidRDefault="006D44E7">
            <w:pPr>
              <w:pStyle w:val="ListParagraph"/>
              <w:numPr>
                <w:ilvl w:val="0"/>
                <w:numId w:val="105"/>
              </w:numPr>
              <w:suppressAutoHyphens w:val="0"/>
            </w:pPr>
            <w:r>
              <w:rPr>
                <w:rFonts w:eastAsia="Times New Roman" w:cs="Arial"/>
                <w:sz w:val="24"/>
                <w:szCs w:val="24"/>
                <w:lang w:val="en-US" w:eastAsia="en-GB"/>
              </w:rPr>
              <w:t>How you will ensure</w:t>
            </w:r>
            <w:r>
              <w:rPr>
                <w:rFonts w:eastAsia="Times New Roman" w:cs="Arial"/>
                <w:sz w:val="24"/>
                <w:szCs w:val="24"/>
                <w:lang w:eastAsia="en-GB"/>
              </w:rPr>
              <w:t xml:space="preserve"> compliance with procurement rules and </w:t>
            </w:r>
            <w:r>
              <w:rPr>
                <w:rFonts w:eastAsia="Times New Roman" w:cs="Arial"/>
                <w:sz w:val="24"/>
                <w:szCs w:val="24"/>
                <w:lang w:val="en-US" w:eastAsia="en-GB"/>
              </w:rPr>
              <w:t>adherence to both internal and external governance.</w:t>
            </w:r>
          </w:p>
          <w:p w14:paraId="4ED50A15" w14:textId="77777777" w:rsidR="004D5C8B" w:rsidRDefault="006D44E7">
            <w:pPr>
              <w:pStyle w:val="ListParagraph"/>
              <w:numPr>
                <w:ilvl w:val="0"/>
                <w:numId w:val="105"/>
              </w:numPr>
              <w:suppressAutoHyphens w:val="0"/>
              <w:rPr>
                <w:rFonts w:eastAsia="Times New Roman" w:cs="Arial"/>
                <w:sz w:val="24"/>
                <w:szCs w:val="24"/>
                <w:lang w:val="en-US" w:eastAsia="en-GB"/>
              </w:rPr>
            </w:pPr>
            <w:r>
              <w:rPr>
                <w:rFonts w:eastAsia="Times New Roman" w:cs="Arial"/>
                <w:sz w:val="24"/>
                <w:szCs w:val="24"/>
                <w:lang w:val="en-US" w:eastAsia="en-GB"/>
              </w:rPr>
              <w:t xml:space="preserve">The KPI’s that you will use to measure the effectiveness of your proposal for the above points, and your explanation as to why each of these KPI’s are the most suitable performance indicator. </w:t>
            </w:r>
          </w:p>
          <w:p w14:paraId="4ED50A16" w14:textId="77777777" w:rsidR="004D5C8B" w:rsidRDefault="006D44E7">
            <w:pPr>
              <w:pStyle w:val="ListParagraph"/>
              <w:numPr>
                <w:ilvl w:val="0"/>
                <w:numId w:val="105"/>
              </w:numPr>
              <w:suppressAutoHyphens w:val="0"/>
              <w:rPr>
                <w:rFonts w:eastAsia="Times New Roman" w:cs="Arial"/>
                <w:sz w:val="24"/>
                <w:szCs w:val="24"/>
                <w:lang w:val="en-US" w:eastAsia="en-GB"/>
              </w:rPr>
            </w:pPr>
            <w:r>
              <w:rPr>
                <w:rFonts w:eastAsia="Times New Roman" w:cs="Arial"/>
                <w:sz w:val="24"/>
                <w:szCs w:val="24"/>
                <w:lang w:val="en-US" w:eastAsia="en-GB"/>
              </w:rPr>
              <w:t>Confirmation that you can meet all requirements within the required timescales.</w:t>
            </w:r>
          </w:p>
          <w:p w14:paraId="4ED50A17" w14:textId="77777777" w:rsidR="004D5C8B" w:rsidRDefault="004D5C8B">
            <w:pPr>
              <w:rPr>
                <w:rFonts w:eastAsia="Times New Roman"/>
                <w:b/>
                <w:bCs/>
                <w:color w:val="FF0000"/>
                <w:sz w:val="24"/>
                <w:szCs w:val="24"/>
                <w:lang w:val="en-US" w:eastAsia="en-GB"/>
              </w:rPr>
            </w:pPr>
          </w:p>
          <w:p w14:paraId="4ED50A18" w14:textId="77777777" w:rsidR="004D5C8B" w:rsidRDefault="006D44E7">
            <w:pPr>
              <w:rPr>
                <w:rFonts w:eastAsia="Times New Roman"/>
                <w:b/>
                <w:bCs/>
                <w:sz w:val="24"/>
                <w:szCs w:val="24"/>
                <w:lang w:val="en-US" w:eastAsia="en-GB"/>
              </w:rPr>
            </w:pPr>
            <w:r>
              <w:rPr>
                <w:rFonts w:eastAsia="Times New Roman"/>
                <w:b/>
                <w:bCs/>
                <w:sz w:val="24"/>
                <w:szCs w:val="24"/>
                <w:lang w:val="en-US" w:eastAsia="en-GB"/>
              </w:rPr>
              <w:t>Maximum of 2500 words</w:t>
            </w:r>
          </w:p>
          <w:p w14:paraId="4ED50A19" w14:textId="77777777" w:rsidR="004D5C8B" w:rsidRDefault="004D5C8B">
            <w:pPr>
              <w:rPr>
                <w:rFonts w:eastAsia="Times New Roman"/>
                <w:b/>
                <w:bCs/>
                <w:color w:val="FF0000"/>
                <w:sz w:val="24"/>
                <w:szCs w:val="24"/>
                <w:lang w:val="en-US" w:eastAsia="en-GB"/>
              </w:rPr>
            </w:pPr>
          </w:p>
        </w:tc>
      </w:tr>
      <w:tr w:rsidR="004D5C8B" w14:paraId="4ED50A1E" w14:textId="77777777">
        <w:tc>
          <w:tcPr>
            <w:tcW w:w="232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1B" w14:textId="77777777" w:rsidR="004D5C8B" w:rsidRDefault="006D44E7">
            <w:r>
              <w:rPr>
                <w:rFonts w:eastAsia="Times New Roman"/>
                <w:b/>
                <w:bCs/>
                <w:sz w:val="24"/>
                <w:szCs w:val="24"/>
                <w:lang w:val="en-US" w:eastAsia="en-GB"/>
              </w:rPr>
              <w:lastRenderedPageBreak/>
              <w:t>How your proposal will be assessed</w:t>
            </w:r>
          </w:p>
        </w:tc>
        <w:tc>
          <w:tcPr>
            <w:tcW w:w="727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1C" w14:textId="77777777" w:rsidR="004D5C8B" w:rsidRDefault="006D44E7">
            <w:pPr>
              <w:rPr>
                <w:rFonts w:eastAsia="Times New Roman"/>
                <w:sz w:val="24"/>
                <w:szCs w:val="24"/>
                <w:lang w:eastAsia="en-GB"/>
              </w:rPr>
            </w:pPr>
            <w:r>
              <w:rPr>
                <w:rFonts w:eastAsia="Times New Roman"/>
                <w:sz w:val="24"/>
                <w:szCs w:val="24"/>
                <w:lang w:eastAsia="en-GB"/>
              </w:rPr>
              <w:t>Your proposal will be evaluated against the criteria in the bullet points above.</w:t>
            </w:r>
          </w:p>
          <w:p w14:paraId="4ED50A1D" w14:textId="77777777" w:rsidR="004D5C8B" w:rsidRDefault="004D5C8B">
            <w:pPr>
              <w:pStyle w:val="ListParagraph"/>
              <w:ind w:left="0"/>
              <w:rPr>
                <w:rFonts w:eastAsia="Times New Roman" w:cs="Arial"/>
                <w:color w:val="FF0000"/>
                <w:sz w:val="24"/>
                <w:szCs w:val="24"/>
                <w:lang w:eastAsia="en-GB"/>
              </w:rPr>
            </w:pPr>
          </w:p>
        </w:tc>
      </w:tr>
    </w:tbl>
    <w:p w14:paraId="4ED50A1F" w14:textId="77777777" w:rsidR="004D5C8B" w:rsidRDefault="004D5C8B">
      <w:pPr>
        <w:pStyle w:val="Standard"/>
      </w:pPr>
    </w:p>
    <w:tbl>
      <w:tblPr>
        <w:tblW w:w="9595" w:type="dxa"/>
        <w:tblCellMar>
          <w:left w:w="10" w:type="dxa"/>
          <w:right w:w="10" w:type="dxa"/>
        </w:tblCellMar>
        <w:tblLook w:val="04A0" w:firstRow="1" w:lastRow="0" w:firstColumn="1" w:lastColumn="0" w:noHBand="0" w:noVBand="1"/>
      </w:tblPr>
      <w:tblGrid>
        <w:gridCol w:w="1977"/>
        <w:gridCol w:w="7618"/>
      </w:tblGrid>
      <w:tr w:rsidR="004D5C8B" w14:paraId="4ED50A21" w14:textId="77777777">
        <w:tc>
          <w:tcPr>
            <w:tcW w:w="959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20" w14:textId="77777777" w:rsidR="004D5C8B" w:rsidRDefault="006D44E7">
            <w:pPr>
              <w:ind w:left="-360"/>
              <w:jc w:val="center"/>
            </w:pPr>
            <w:r>
              <w:rPr>
                <w:rFonts w:eastAsia="Times New Roman"/>
                <w:b/>
                <w:bCs/>
                <w:sz w:val="24"/>
                <w:szCs w:val="24"/>
                <w:lang w:val="en-US" w:eastAsia="en-GB"/>
              </w:rPr>
              <w:t>CASE STUDIES</w:t>
            </w:r>
          </w:p>
        </w:tc>
      </w:tr>
      <w:tr w:rsidR="004D5C8B" w14:paraId="4ED50A24" w14:textId="77777777">
        <w:tc>
          <w:tcPr>
            <w:tcW w:w="197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22" w14:textId="77777777" w:rsidR="004D5C8B" w:rsidRDefault="006D44E7">
            <w:pPr>
              <w:rPr>
                <w:rFonts w:eastAsia="Times New Roman"/>
                <w:b/>
                <w:bCs/>
                <w:sz w:val="24"/>
                <w:szCs w:val="24"/>
                <w:lang w:val="en-US" w:eastAsia="en-GB"/>
              </w:rPr>
            </w:pPr>
            <w:r>
              <w:rPr>
                <w:rFonts w:eastAsia="Times New Roman"/>
                <w:b/>
                <w:bCs/>
                <w:sz w:val="24"/>
                <w:szCs w:val="24"/>
                <w:lang w:val="en-US" w:eastAsia="en-GB"/>
              </w:rPr>
              <w:t>Instructions</w:t>
            </w:r>
          </w:p>
        </w:tc>
        <w:tc>
          <w:tcPr>
            <w:tcW w:w="761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23" w14:textId="77777777" w:rsidR="004D5C8B" w:rsidRDefault="006D44E7">
            <w:pPr>
              <w:pStyle w:val="ListParagraph"/>
              <w:numPr>
                <w:ilvl w:val="1"/>
                <w:numId w:val="106"/>
              </w:numPr>
              <w:suppressAutoHyphens w:val="0"/>
              <w:ind w:left="0"/>
            </w:pPr>
            <w:r>
              <w:rPr>
                <w:rFonts w:eastAsia="Times New Roman" w:cs="Arial"/>
                <w:sz w:val="24"/>
                <w:szCs w:val="24"/>
                <w:lang w:eastAsia="en-GB"/>
              </w:rPr>
              <w:t xml:space="preserve">Tenderers must submit the Case Study responses by attaching it to the appropriate question within the Award Questionnaire section in the Ariba Event (maximum </w:t>
            </w:r>
            <w:r>
              <w:rPr>
                <w:rFonts w:eastAsia="Times New Roman" w:cs="Arial"/>
                <w:b/>
                <w:bCs/>
                <w:sz w:val="24"/>
                <w:szCs w:val="24"/>
                <w:lang w:eastAsia="en-GB"/>
              </w:rPr>
              <w:t>750</w:t>
            </w:r>
            <w:r>
              <w:rPr>
                <w:rFonts w:eastAsia="Times New Roman" w:cs="Arial"/>
                <w:color w:val="FF0000"/>
                <w:sz w:val="24"/>
                <w:szCs w:val="24"/>
                <w:lang w:eastAsia="en-GB"/>
              </w:rPr>
              <w:t xml:space="preserve"> </w:t>
            </w:r>
            <w:r>
              <w:rPr>
                <w:rFonts w:eastAsia="Times New Roman" w:cs="Arial"/>
                <w:sz w:val="24"/>
                <w:szCs w:val="24"/>
                <w:lang w:eastAsia="en-GB"/>
              </w:rPr>
              <w:t xml:space="preserve">words for each Case Study). Please provide details of two referenceable Case Studies within comparative industry settings and size of project that are relevant to the Authority’s requirement. The Contracts which must have been performed during the past two years should include members of the proposed delivery team and detail of their role. Tenderers may use the same project for both Case Studies but must ensure the focus is aligned to the individual Case Study being responded against. Tenderers must also demonstrate experience of adding value in a post-disaggregated IT </w:t>
            </w:r>
            <w:proofErr w:type="gramStart"/>
            <w:r>
              <w:rPr>
                <w:rFonts w:eastAsia="Times New Roman" w:cs="Arial"/>
                <w:sz w:val="24"/>
                <w:szCs w:val="24"/>
                <w:lang w:eastAsia="en-GB"/>
              </w:rPr>
              <w:t>estate, and</w:t>
            </w:r>
            <w:proofErr w:type="gramEnd"/>
            <w:r>
              <w:rPr>
                <w:rFonts w:eastAsia="Times New Roman" w:cs="Arial"/>
                <w:sz w:val="24"/>
                <w:szCs w:val="24"/>
                <w:lang w:eastAsia="en-GB"/>
              </w:rPr>
              <w:t xml:space="preserve"> providing advice and thought leadership on wider government precedents.</w:t>
            </w:r>
          </w:p>
        </w:tc>
      </w:tr>
      <w:tr w:rsidR="004D5C8B" w14:paraId="4ED50A31" w14:textId="77777777">
        <w:tc>
          <w:tcPr>
            <w:tcW w:w="197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25" w14:textId="77777777" w:rsidR="004D5C8B" w:rsidRDefault="006D44E7">
            <w:pPr>
              <w:rPr>
                <w:rFonts w:eastAsia="Times New Roman"/>
                <w:b/>
                <w:bCs/>
                <w:sz w:val="24"/>
                <w:szCs w:val="24"/>
                <w:lang w:val="en-US" w:eastAsia="en-GB"/>
              </w:rPr>
            </w:pPr>
            <w:r>
              <w:rPr>
                <w:rFonts w:eastAsia="Times New Roman"/>
                <w:b/>
                <w:bCs/>
                <w:sz w:val="24"/>
                <w:szCs w:val="24"/>
                <w:lang w:val="en-US" w:eastAsia="en-GB"/>
              </w:rPr>
              <w:t>Case Study 1</w:t>
            </w:r>
          </w:p>
        </w:tc>
        <w:tc>
          <w:tcPr>
            <w:tcW w:w="761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26" w14:textId="77777777" w:rsidR="004D5C8B" w:rsidRDefault="006D44E7">
            <w:r>
              <w:rPr>
                <w:rFonts w:eastAsia="Times New Roman"/>
                <w:sz w:val="24"/>
                <w:szCs w:val="24"/>
                <w:lang w:eastAsia="en-GB"/>
              </w:rPr>
              <w:t xml:space="preserve">Case Study 1 should focus on </w:t>
            </w:r>
            <w:r>
              <w:rPr>
                <w:rFonts w:eastAsia="Times New Roman"/>
                <w:b/>
                <w:bCs/>
                <w:sz w:val="24"/>
                <w:szCs w:val="24"/>
                <w:lang w:eastAsia="en-GB"/>
              </w:rPr>
              <w:t xml:space="preserve">commercial performance management (refer to 3.4.1b in the ITT document for further information) </w:t>
            </w:r>
            <w:r>
              <w:rPr>
                <w:rFonts w:eastAsia="Times New Roman"/>
                <w:sz w:val="24"/>
                <w:szCs w:val="24"/>
                <w:lang w:eastAsia="en-GB"/>
              </w:rPr>
              <w:t>and cover how you transitioned a client to an optimum level for the delivery of value for money within an IT environment</w:t>
            </w:r>
            <w:r>
              <w:rPr>
                <w:rFonts w:eastAsia="Times New Roman"/>
                <w:b/>
                <w:bCs/>
                <w:sz w:val="24"/>
                <w:szCs w:val="24"/>
                <w:lang w:eastAsia="en-GB"/>
              </w:rPr>
              <w:t xml:space="preserve">. </w:t>
            </w:r>
            <w:r>
              <w:rPr>
                <w:rFonts w:eastAsia="Times New Roman"/>
                <w:sz w:val="24"/>
                <w:szCs w:val="24"/>
                <w:lang w:eastAsia="en-GB"/>
              </w:rPr>
              <w:t>Your response should include, but not be limited to:</w:t>
            </w:r>
          </w:p>
          <w:p w14:paraId="4ED50A27" w14:textId="77777777" w:rsidR="004D5C8B" w:rsidRDefault="004D5C8B">
            <w:pPr>
              <w:rPr>
                <w:rFonts w:eastAsia="Times New Roman"/>
                <w:sz w:val="24"/>
                <w:szCs w:val="24"/>
                <w:lang w:eastAsia="en-GB"/>
              </w:rPr>
            </w:pPr>
          </w:p>
          <w:p w14:paraId="4ED50A28"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Nature, size, and scope of assignment</w:t>
            </w:r>
          </w:p>
          <w:p w14:paraId="4ED50A29"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Size of team and mix of skills provided</w:t>
            </w:r>
          </w:p>
          <w:p w14:paraId="4ED50A2A"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Innovative Solutions delivered, Overall Outcome and how benefits were measured, </w:t>
            </w:r>
            <w:proofErr w:type="gramStart"/>
            <w:r>
              <w:rPr>
                <w:rFonts w:eastAsia="Times New Roman" w:cs="Arial"/>
                <w:sz w:val="24"/>
                <w:szCs w:val="24"/>
                <w:lang w:eastAsia="en-GB"/>
              </w:rPr>
              <w:t>tracked</w:t>
            </w:r>
            <w:proofErr w:type="gramEnd"/>
            <w:r>
              <w:rPr>
                <w:rFonts w:eastAsia="Times New Roman" w:cs="Arial"/>
                <w:sz w:val="24"/>
                <w:szCs w:val="24"/>
                <w:lang w:eastAsia="en-GB"/>
              </w:rPr>
              <w:t xml:space="preserve"> and delivered</w:t>
            </w:r>
          </w:p>
          <w:p w14:paraId="4ED50A2B"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Value added </w:t>
            </w:r>
          </w:p>
          <w:p w14:paraId="4ED50A2C"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Lessons Learned </w:t>
            </w:r>
          </w:p>
          <w:p w14:paraId="4ED50A2D" w14:textId="77777777" w:rsidR="004D5C8B" w:rsidRDefault="004D5C8B">
            <w:pPr>
              <w:rPr>
                <w:rFonts w:eastAsia="Times New Roman"/>
                <w:sz w:val="24"/>
                <w:szCs w:val="24"/>
                <w:lang w:eastAsia="en-GB"/>
              </w:rPr>
            </w:pPr>
          </w:p>
          <w:p w14:paraId="4ED50A2E" w14:textId="77777777" w:rsidR="004D5C8B" w:rsidRDefault="006D44E7">
            <w:pPr>
              <w:rPr>
                <w:rFonts w:eastAsia="Times New Roman"/>
                <w:sz w:val="24"/>
                <w:szCs w:val="24"/>
                <w:lang w:eastAsia="en-GB"/>
              </w:rPr>
            </w:pPr>
            <w:r>
              <w:rPr>
                <w:rFonts w:eastAsia="Times New Roman"/>
                <w:sz w:val="24"/>
                <w:szCs w:val="24"/>
                <w:lang w:eastAsia="en-GB"/>
              </w:rPr>
              <w:lastRenderedPageBreak/>
              <w:t>Please provide a named customer contact within your response who must be prepared to provide written evidence to the Contracting Authority to confirm the accuracy of the information provided.</w:t>
            </w:r>
          </w:p>
          <w:p w14:paraId="4ED50A2F" w14:textId="77777777" w:rsidR="004D5C8B" w:rsidRDefault="004D5C8B">
            <w:pPr>
              <w:rPr>
                <w:rFonts w:eastAsia="Times New Roman"/>
                <w:sz w:val="24"/>
                <w:szCs w:val="24"/>
                <w:lang w:eastAsia="en-GB"/>
              </w:rPr>
            </w:pPr>
          </w:p>
          <w:p w14:paraId="4ED50A30" w14:textId="77777777" w:rsidR="004D5C8B" w:rsidRDefault="006D44E7">
            <w:r>
              <w:rPr>
                <w:rFonts w:eastAsia="Times New Roman"/>
                <w:sz w:val="24"/>
                <w:szCs w:val="24"/>
                <w:lang w:eastAsia="en-GB"/>
              </w:rPr>
              <w:t xml:space="preserve">Word limit: </w:t>
            </w:r>
            <w:r>
              <w:rPr>
                <w:rFonts w:eastAsia="Times New Roman"/>
                <w:b/>
                <w:bCs/>
                <w:sz w:val="24"/>
                <w:szCs w:val="24"/>
                <w:lang w:eastAsia="en-GB"/>
              </w:rPr>
              <w:t>750</w:t>
            </w:r>
          </w:p>
        </w:tc>
      </w:tr>
      <w:tr w:rsidR="004D5C8B" w14:paraId="4ED50A3E" w14:textId="77777777">
        <w:tc>
          <w:tcPr>
            <w:tcW w:w="1977"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32" w14:textId="77777777" w:rsidR="004D5C8B" w:rsidRDefault="006D44E7">
            <w:pPr>
              <w:rPr>
                <w:rFonts w:eastAsia="Times New Roman"/>
                <w:b/>
                <w:bCs/>
                <w:sz w:val="24"/>
                <w:szCs w:val="24"/>
                <w:lang w:val="en-US" w:eastAsia="en-GB"/>
              </w:rPr>
            </w:pPr>
            <w:r>
              <w:rPr>
                <w:rFonts w:eastAsia="Times New Roman"/>
                <w:b/>
                <w:bCs/>
                <w:sz w:val="24"/>
                <w:szCs w:val="24"/>
                <w:lang w:val="en-US" w:eastAsia="en-GB"/>
              </w:rPr>
              <w:lastRenderedPageBreak/>
              <w:t>Case Study 2</w:t>
            </w:r>
          </w:p>
        </w:tc>
        <w:tc>
          <w:tcPr>
            <w:tcW w:w="7618"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ED50A33" w14:textId="77777777" w:rsidR="004D5C8B" w:rsidRDefault="006D44E7">
            <w:r>
              <w:rPr>
                <w:rFonts w:eastAsia="Times New Roman"/>
                <w:sz w:val="24"/>
                <w:szCs w:val="24"/>
                <w:lang w:eastAsia="en-GB"/>
              </w:rPr>
              <w:t>Case Study 2 should focus on the</w:t>
            </w:r>
            <w:r>
              <w:rPr>
                <w:rFonts w:eastAsia="Times New Roman"/>
                <w:b/>
                <w:bCs/>
                <w:sz w:val="24"/>
                <w:szCs w:val="24"/>
                <w:lang w:eastAsia="en-GB"/>
              </w:rPr>
              <w:t xml:space="preserve"> </w:t>
            </w:r>
            <w:r>
              <w:rPr>
                <w:rFonts w:eastAsia="Times New Roman"/>
                <w:sz w:val="24"/>
                <w:szCs w:val="24"/>
                <w:lang w:eastAsia="en-GB"/>
              </w:rPr>
              <w:t>requirements of</w:t>
            </w:r>
            <w:r>
              <w:rPr>
                <w:rFonts w:eastAsia="Times New Roman"/>
                <w:b/>
                <w:bCs/>
                <w:sz w:val="24"/>
                <w:szCs w:val="24"/>
                <w:lang w:eastAsia="en-GB"/>
              </w:rPr>
              <w:t xml:space="preserve"> 3.5.1b of the ITT document - embedding of business partnering and value optimisation across Commercial’s customer chain within HMRC (refer to section for further information) </w:t>
            </w:r>
            <w:r>
              <w:rPr>
                <w:rFonts w:eastAsia="Times New Roman"/>
                <w:sz w:val="24"/>
                <w:szCs w:val="24"/>
                <w:lang w:eastAsia="en-GB"/>
              </w:rPr>
              <w:t>and cover how you successfully embedded a client’s lead department (receiving your services) as a strategic partner across the client’s the wider organisation, and maximised value. Your response should include, but not be limited to:</w:t>
            </w:r>
          </w:p>
          <w:p w14:paraId="4ED50A34" w14:textId="77777777" w:rsidR="004D5C8B" w:rsidRDefault="004D5C8B">
            <w:pPr>
              <w:rPr>
                <w:rFonts w:eastAsia="Times New Roman"/>
                <w:sz w:val="24"/>
                <w:szCs w:val="24"/>
                <w:lang w:eastAsia="en-GB"/>
              </w:rPr>
            </w:pPr>
          </w:p>
          <w:p w14:paraId="4ED50A35"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Nature, size, and scope of assignment </w:t>
            </w:r>
          </w:p>
          <w:p w14:paraId="4ED50A36"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Size of team and mix of skills provided </w:t>
            </w:r>
          </w:p>
          <w:p w14:paraId="4ED50A37"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Innovative Solutions delivered, Overall Outcome and how benefits were measured, </w:t>
            </w:r>
            <w:proofErr w:type="gramStart"/>
            <w:r>
              <w:rPr>
                <w:rFonts w:eastAsia="Times New Roman" w:cs="Arial"/>
                <w:sz w:val="24"/>
                <w:szCs w:val="24"/>
                <w:lang w:eastAsia="en-GB"/>
              </w:rPr>
              <w:t>tracked</w:t>
            </w:r>
            <w:proofErr w:type="gramEnd"/>
            <w:r>
              <w:rPr>
                <w:rFonts w:eastAsia="Times New Roman" w:cs="Arial"/>
                <w:sz w:val="24"/>
                <w:szCs w:val="24"/>
                <w:lang w:eastAsia="en-GB"/>
              </w:rPr>
              <w:t xml:space="preserve"> and delivered </w:t>
            </w:r>
          </w:p>
          <w:p w14:paraId="4ED50A38"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Value added </w:t>
            </w:r>
          </w:p>
          <w:p w14:paraId="4ED50A39" w14:textId="77777777" w:rsidR="004D5C8B" w:rsidRDefault="006D44E7">
            <w:pPr>
              <w:pStyle w:val="ListParagraph"/>
              <w:numPr>
                <w:ilvl w:val="1"/>
                <w:numId w:val="106"/>
              </w:numPr>
              <w:suppressAutoHyphens w:val="0"/>
              <w:ind w:left="420"/>
              <w:rPr>
                <w:rFonts w:eastAsia="Times New Roman" w:cs="Arial"/>
                <w:sz w:val="24"/>
                <w:szCs w:val="24"/>
                <w:lang w:eastAsia="en-GB"/>
              </w:rPr>
            </w:pPr>
            <w:r>
              <w:rPr>
                <w:rFonts w:eastAsia="Times New Roman" w:cs="Arial"/>
                <w:sz w:val="24"/>
                <w:szCs w:val="24"/>
                <w:lang w:eastAsia="en-GB"/>
              </w:rPr>
              <w:t xml:space="preserve">Lessons Learned </w:t>
            </w:r>
          </w:p>
          <w:p w14:paraId="4ED50A3A" w14:textId="77777777" w:rsidR="004D5C8B" w:rsidRDefault="004D5C8B">
            <w:pPr>
              <w:rPr>
                <w:rFonts w:eastAsia="Times New Roman"/>
                <w:sz w:val="24"/>
                <w:szCs w:val="24"/>
                <w:lang w:eastAsia="en-GB"/>
              </w:rPr>
            </w:pPr>
          </w:p>
          <w:p w14:paraId="4ED50A3B" w14:textId="77777777" w:rsidR="004D5C8B" w:rsidRDefault="006D44E7">
            <w:pPr>
              <w:pStyle w:val="ListParagraph"/>
              <w:numPr>
                <w:ilvl w:val="1"/>
                <w:numId w:val="106"/>
              </w:numPr>
              <w:suppressAutoHyphens w:val="0"/>
              <w:ind w:left="0"/>
              <w:rPr>
                <w:rFonts w:eastAsia="Times New Roman" w:cs="Arial"/>
                <w:sz w:val="24"/>
                <w:szCs w:val="24"/>
                <w:lang w:eastAsia="en-GB"/>
              </w:rPr>
            </w:pPr>
            <w:r>
              <w:rPr>
                <w:rFonts w:eastAsia="Times New Roman" w:cs="Arial"/>
                <w:sz w:val="24"/>
                <w:szCs w:val="24"/>
                <w:lang w:eastAsia="en-GB"/>
              </w:rPr>
              <w:t>Please provide a named customer contact within your response who must be prepared to provide written evidence to the Contracting Authority to confirm the accuracy of the information provided.</w:t>
            </w:r>
          </w:p>
          <w:p w14:paraId="4ED50A3C" w14:textId="77777777" w:rsidR="004D5C8B" w:rsidRDefault="004D5C8B">
            <w:pPr>
              <w:rPr>
                <w:rFonts w:eastAsia="Times New Roman"/>
                <w:sz w:val="24"/>
                <w:szCs w:val="24"/>
                <w:lang w:eastAsia="en-GB"/>
              </w:rPr>
            </w:pPr>
          </w:p>
          <w:p w14:paraId="4ED50A3D" w14:textId="77777777" w:rsidR="004D5C8B" w:rsidRDefault="006D44E7">
            <w:r>
              <w:rPr>
                <w:rFonts w:eastAsia="Times New Roman"/>
                <w:sz w:val="24"/>
                <w:szCs w:val="24"/>
                <w:lang w:eastAsia="en-GB"/>
              </w:rPr>
              <w:t>Word limit:</w:t>
            </w:r>
            <w:r>
              <w:rPr>
                <w:rFonts w:eastAsia="Times New Roman"/>
                <w:b/>
                <w:bCs/>
                <w:sz w:val="24"/>
                <w:szCs w:val="24"/>
                <w:lang w:eastAsia="en-GB"/>
              </w:rPr>
              <w:t xml:space="preserve"> 750</w:t>
            </w:r>
          </w:p>
        </w:tc>
      </w:tr>
    </w:tbl>
    <w:p w14:paraId="4ED50A3F" w14:textId="77777777" w:rsidR="004D5C8B" w:rsidRDefault="004D5C8B">
      <w:pPr>
        <w:pStyle w:val="Standard"/>
      </w:pPr>
    </w:p>
    <w:p w14:paraId="4ED50A40" w14:textId="77777777" w:rsidR="004D5C8B" w:rsidRDefault="004D5C8B">
      <w:pPr>
        <w:pStyle w:val="Standard"/>
      </w:pPr>
    </w:p>
    <w:p w14:paraId="4ED50A41" w14:textId="77777777" w:rsidR="004D5C8B" w:rsidRDefault="004D5C8B">
      <w:pPr>
        <w:pStyle w:val="Standard"/>
      </w:pPr>
    </w:p>
    <w:p w14:paraId="4ED50A42" w14:textId="77777777" w:rsidR="004D5C8B" w:rsidRDefault="004D5C8B">
      <w:pPr>
        <w:pStyle w:val="Standard"/>
      </w:pPr>
    </w:p>
    <w:p w14:paraId="4ED50A43" w14:textId="77777777" w:rsidR="004D5C8B" w:rsidRDefault="004D5C8B">
      <w:pPr>
        <w:pStyle w:val="Standard"/>
      </w:pPr>
    </w:p>
    <w:p w14:paraId="4ED50A44" w14:textId="77777777" w:rsidR="004D5C8B" w:rsidRDefault="004D5C8B">
      <w:pPr>
        <w:pStyle w:val="Standard"/>
      </w:pPr>
    </w:p>
    <w:p w14:paraId="4ED50A45" w14:textId="77777777" w:rsidR="004D5C8B" w:rsidRDefault="004D5C8B">
      <w:pPr>
        <w:pStyle w:val="Standard"/>
      </w:pPr>
    </w:p>
    <w:p w14:paraId="4ED50A46" w14:textId="77777777" w:rsidR="004D5C8B" w:rsidRDefault="004D5C8B">
      <w:pPr>
        <w:pStyle w:val="Standard"/>
      </w:pPr>
    </w:p>
    <w:p w14:paraId="4ED50A47" w14:textId="77777777" w:rsidR="004D5C8B" w:rsidRDefault="004D5C8B">
      <w:pPr>
        <w:pStyle w:val="Standard"/>
      </w:pPr>
    </w:p>
    <w:p w14:paraId="4ED50A48" w14:textId="77777777" w:rsidR="004D5C8B" w:rsidRDefault="004D5C8B">
      <w:pPr>
        <w:pStyle w:val="Standard"/>
      </w:pPr>
    </w:p>
    <w:p w14:paraId="4ED50A49" w14:textId="77777777" w:rsidR="004D5C8B" w:rsidRDefault="004D5C8B">
      <w:pPr>
        <w:pStyle w:val="Standard"/>
      </w:pPr>
    </w:p>
    <w:p w14:paraId="4ED50A4A" w14:textId="77777777" w:rsidR="004D5C8B" w:rsidRDefault="004D5C8B">
      <w:pPr>
        <w:pStyle w:val="Standard"/>
      </w:pPr>
    </w:p>
    <w:p w14:paraId="4ED50A4B" w14:textId="77777777" w:rsidR="004D5C8B" w:rsidRDefault="004D5C8B">
      <w:pPr>
        <w:pStyle w:val="Standard"/>
      </w:pPr>
    </w:p>
    <w:p w14:paraId="4ED50A4C" w14:textId="77777777" w:rsidR="004D5C8B" w:rsidRDefault="004D5C8B">
      <w:pPr>
        <w:pStyle w:val="Standard"/>
      </w:pPr>
    </w:p>
    <w:p w14:paraId="4ED50A4D" w14:textId="77777777" w:rsidR="004D5C8B" w:rsidRDefault="004D5C8B">
      <w:pPr>
        <w:pStyle w:val="Standard"/>
      </w:pPr>
    </w:p>
    <w:p w14:paraId="4ED50A4E" w14:textId="77777777" w:rsidR="004D5C8B" w:rsidRDefault="004D5C8B">
      <w:pPr>
        <w:pStyle w:val="Standard"/>
      </w:pPr>
    </w:p>
    <w:p w14:paraId="4ED50A4F" w14:textId="77777777" w:rsidR="004D5C8B" w:rsidRDefault="004D5C8B">
      <w:pPr>
        <w:pStyle w:val="Standard"/>
      </w:pPr>
    </w:p>
    <w:sectPr w:rsidR="004D5C8B">
      <w:headerReference w:type="default" r:id="rId9"/>
      <w:footerReference w:type="default" r:id="rId10"/>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5B0A385A" w:rsidR="0007654D" w:rsidRDefault="006D44E7">
    <w:pPr>
      <w:pStyle w:val="Standard"/>
    </w:pPr>
    <w:r>
      <w:rPr>
        <w:rFonts w:ascii="Roboto" w:eastAsia="Roboto" w:hAnsi="Roboto" w:cs="Roboto"/>
        <w:color w:val="202124"/>
        <w:sz w:val="20"/>
        <w:szCs w:val="20"/>
        <w:shd w:val="clear" w:color="auto" w:fill="FFFFFF"/>
      </w:rPr>
      <w:t>Model version: v3.</w:t>
    </w:r>
    <w:r w:rsidR="00823D57">
      <w:rPr>
        <w:rFonts w:ascii="Roboto" w:eastAsia="Roboto" w:hAnsi="Roboto" w:cs="Roboto"/>
        <w:color w:val="202124"/>
        <w:sz w:val="20"/>
        <w:szCs w:val="20"/>
        <w:shd w:val="clear" w:color="auto" w:fill="FFFFFF"/>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2DBE" w14:textId="77777777" w:rsidR="00823D57" w:rsidRDefault="00823D57" w:rsidP="00823D57">
    <w:pPr>
      <w:pStyle w:val="Standard"/>
      <w:widowControl/>
      <w:tabs>
        <w:tab w:val="center" w:pos="4513"/>
        <w:tab w:val="right" w:pos="9026"/>
      </w:tabs>
      <w:spacing w:line="240" w:lineRule="auto"/>
    </w:pPr>
    <w:r>
      <w:rPr>
        <w:color w:val="000000"/>
        <w:sz w:val="20"/>
        <w:szCs w:val="20"/>
      </w:rPr>
      <w:t>Call-Off Schedule 20 (Call-Off Specification)</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6C2EAE"/>
    <w:rsid w:val="006D44E7"/>
    <w:rsid w:val="00823D57"/>
    <w:rsid w:val="009A4E93"/>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intranet.prod.dop.corp.hmrc.gov.uk/static/homepage/index.html" TargetMode="External"/><Relationship Id="rId3" Type="http://schemas.openxmlformats.org/officeDocument/2006/relationships/settings" Target="settings.xml"/><Relationship Id="rId7" Type="http://schemas.openxmlformats.org/officeDocument/2006/relationships/hyperlink" Target="https://www.gov.uk/government/publications/security-policy-framewor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3527</Words>
  <Characters>20110</Characters>
  <Application>Microsoft Office Word</Application>
  <DocSecurity>0</DocSecurity>
  <Lines>167</Lines>
  <Paragraphs>47</Paragraphs>
  <ScaleCrop>false</ScaleCrop>
  <Company/>
  <LinksUpToDate>false</LinksUpToDate>
  <CharactersWithSpaces>23590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